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08E" w14:textId="77777777" w:rsidR="00AE052A" w:rsidRDefault="00AE052A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7A0CBAB6" w14:textId="77777777" w:rsidR="00AE052A" w:rsidRDefault="00AE052A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</w:p>
    <w:p w14:paraId="5563E43B" w14:textId="77777777" w:rsidR="00AE052A" w:rsidRDefault="00196B0E">
      <w:pPr>
        <w:pStyle w:val="TextA"/>
        <w:spacing w:line="276" w:lineRule="auto"/>
        <w:ind w:right="567" w:firstLine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TISKOVÁ ZPRÁVA</w:t>
      </w:r>
    </w:p>
    <w:p w14:paraId="74379F0C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  <w:sz w:val="20"/>
          <w:szCs w:val="20"/>
        </w:rPr>
      </w:pPr>
    </w:p>
    <w:p w14:paraId="14DD739E" w14:textId="77777777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b/>
          <w:bCs/>
        </w:rPr>
      </w:pPr>
      <w:r>
        <w:rPr>
          <w:rFonts w:ascii="Rhymes Display" w:eastAsia="Times New Roman" w:hAnsi="Rhymes Display" w:cs="Times New Roman"/>
          <w:b/>
          <w:bCs/>
        </w:rPr>
        <w:t>GASK zpřístupní jižní věž jezuitské koleje a naváže na společnou vstupenku Spolu… za Kutnohorskou iluminací</w:t>
      </w:r>
    </w:p>
    <w:p w14:paraId="0EA92960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0AA50B77" w14:textId="1719E3B2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hAnsi="Rhymes Display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Galerie Středočeského kraje v Kutné Hoře zpřístupní od 1. dubna jižní věž bývalé jezuitské koleje v Kutné Hoře. Do věže byly v říjnu loňského roku navráceny svatobarborské zvony Michal a Ludvík, které byly pro svá rozsáhlá poškození na obnově v holandském </w:t>
      </w:r>
      <w:proofErr w:type="spellStart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Astenu</w:t>
      </w:r>
      <w:proofErr w:type="spellEnd"/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Návštěvníci si tak budou moci prohlédnout zvony zblízka a zároveň zažít Kutnou Horu z ptačí perspektivy. Jižní věž je možné navštívit každý víkend do 30. září. Projekt vznikl ve spolupráci s Římskokatolickou farností – arciděkanstvím Kutná Hora. Ve stejný den, tedy 1. dubna, se v GASK zároveň otevře výstava </w:t>
      </w:r>
      <w:r>
        <w:rPr>
          <w:rFonts w:ascii="Rhymes Display" w:eastAsia="Times New Roman" w:hAnsi="Rhymes Display" w:cs="Times New Roman"/>
          <w:sz w:val="20"/>
          <w:szCs w:val="20"/>
        </w:rPr>
        <w:t>faksimile Kutnohorské iluminace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, jejíž originál je uložen v depozitáři galerie. Ve spolupráci s Českým muzeem stříbra a Vlašským dvorem se k výstavě váže společná vstupenka </w:t>
      </w:r>
      <w:r>
        <w:rPr>
          <w:rFonts w:ascii="Rhymes Display" w:eastAsia="Times New Roman" w:hAnsi="Rhymes Display" w:cs="Times New Roman"/>
          <w:sz w:val="20"/>
          <w:szCs w:val="20"/>
        </w:rPr>
        <w:t>Spolu… za Kutnohorskou iluminací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Ta nabídne návštěvníkům vstup do galerijních i muzejních expozic, které se tematicky vztahují ke </w:t>
      </w:r>
      <w:r>
        <w:rPr>
          <w:rFonts w:ascii="Rhymes Display" w:eastAsia="Times New Roman" w:hAnsi="Rhymes Display" w:cs="Times New Roman"/>
          <w:sz w:val="20"/>
          <w:szCs w:val="20"/>
        </w:rPr>
        <w:t>Kutnohorské iluminaci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. </w:t>
      </w:r>
      <w:r>
        <w:rPr>
          <w:rFonts w:ascii="Rhymes Display" w:hAnsi="Rhymes Display"/>
          <w:i/>
          <w:iCs/>
          <w:sz w:val="20"/>
          <w:szCs w:val="20"/>
        </w:rPr>
        <w:t xml:space="preserve">Cenově výhodná vstupenka stojí 190 Kč a její platnost je do 31. října. </w:t>
      </w:r>
    </w:p>
    <w:p w14:paraId="78B5818F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66384707" w14:textId="2D6BAEB3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Dne 1. dubna se pro veřejnost otevře jižní věž kutnohorské jezuitské koleje, v níž sídlí Galerie Středočeského kraje. Návštěvníci tak budou moci vystoupat až ke svatobarborským zvonům Michal, Ludvík a Barbora. První dva zmíněné, které pocházejí z přelomu 15. a 16. století, byly po rozsáhlých opravách znovu vráceny do věže v říjnu loňského roku. Po svém usazení zní zase Kutnou Horou spolu s mladší sestrou Barborou od 17. listopadu. Z jižní věže se zároveň návštěvníkům naskytne ze čtyř okének u nejvýše položeného zvonu Barbora nádherný výhled na město Kutná Hora. Věž bude zpřístupněna každý víkend od 2. dubna do 30. září vždy v lichou hodinu. Vstupenky v hodnotě 70 Kč (plné vstupné) a 50 Kč (snížené vstupné) jsou k zakoupení na pokladně GASK a v Infocentru u chrámu svaté Barbory.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„S událostí je spojeno její slavnostní zahájení, které se uskuteční dne 1. dubna od 14 hodin v refektáři GASK. V předpremiéře zde bude promítnut dokument </w:t>
      </w:r>
      <w:r>
        <w:rPr>
          <w:rFonts w:ascii="Rhymes Display" w:eastAsia="Times New Roman" w:hAnsi="Rhymes Display" w:cs="Times New Roman"/>
          <w:sz w:val="20"/>
          <w:szCs w:val="20"/>
        </w:rPr>
        <w:t>Svatobarborští zvoníci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z dílny pana Marka Černého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od 15 a 16 hodin budou následovat komentované prohlídky jižní věže se svatobarborským zvoníkem panem Bohumírem Krejčou,“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říká Alena Sedláčková z tiskového oddělení GASK. Na celý program je vstup zdarma. Na komentované prohlídky je nutno se rezervovat na </w:t>
      </w:r>
      <w:hyperlink r:id="rId6">
        <w:r>
          <w:rPr>
            <w:rStyle w:val="Hypertextovodkaz"/>
            <w:rFonts w:ascii="Rhymes Display" w:eastAsia="Times New Roman" w:hAnsi="Rhymes Display" w:cs="Times New Roman"/>
            <w:sz w:val="20"/>
            <w:szCs w:val="20"/>
          </w:rPr>
          <w:t>www.gask.cz</w:t>
        </w:r>
      </w:hyperlink>
      <w:r>
        <w:rPr>
          <w:rFonts w:ascii="Rhymes Display" w:eastAsia="Times New Roman" w:hAnsi="Rhymes Display" w:cs="Times New Roman"/>
          <w:sz w:val="20"/>
          <w:szCs w:val="20"/>
        </w:rPr>
        <w:t xml:space="preserve">. </w:t>
      </w:r>
    </w:p>
    <w:p w14:paraId="1809CFF5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4B7B9982" w14:textId="3C25B60C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i/>
          <w:iCs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V Galerii Středočeského kraje, která iniciovala projekt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Spolu… za Kutnohorskou iluminací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si budou moci držitelé společné vstupenky od 1. dubna prohlédnout uměleckou kopii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Kutnohorské iluminace</w:t>
      </w:r>
      <w:r>
        <w:rPr>
          <w:rFonts w:ascii="Rhymes Display" w:eastAsia="Times New Roman" w:hAnsi="Rhymes Display" w:cs="Times New Roman"/>
          <w:sz w:val="20"/>
          <w:szCs w:val="20"/>
        </w:rPr>
        <w:t>, která byla vyhotovena barvami a malířskými technikami používanými v době jejího vzniku a na původním materiálu – pergamenu.</w:t>
      </w:r>
      <w:r w:rsidR="001E0D39">
        <w:rPr>
          <w:rFonts w:ascii="Rhymes Display" w:eastAsia="Times New Roman" w:hAnsi="Rhymes Display" w:cs="Times New Roman"/>
          <w:sz w:val="20"/>
          <w:szCs w:val="20"/>
        </w:rPr>
        <w:t xml:space="preserve"> Součástí expozice bude nově i dokument o vytvoření této faksimile.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V GASK je uložen i originál</w:t>
      </w:r>
      <w:r w:rsidR="001E0D39">
        <w:rPr>
          <w:rFonts w:ascii="Rhymes Display" w:eastAsia="Times New Roman" w:hAnsi="Rhymes Display" w:cs="Times New Roman"/>
          <w:sz w:val="20"/>
          <w:szCs w:val="20"/>
        </w:rPr>
        <w:t xml:space="preserve"> iluminace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</w:t>
      </w:r>
      <w:r w:rsidR="00686E4F">
        <w:rPr>
          <w:rFonts w:ascii="Rhymes Display" w:eastAsia="Times New Roman" w:hAnsi="Rhymes Display" w:cs="Times New Roman"/>
          <w:sz w:val="20"/>
          <w:szCs w:val="20"/>
        </w:rPr>
        <w:t>jehož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vzácnost a křehkost však neumožňuje vystavení na dobu delší než dva dny v roce. Galerie plánuje originál iluminace vystavit v Den české státnosti 28. října. Se společnou vstupenkou budou mít návštěvníci možnost si v GASK prohlédnout nejen výstavu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Kutnohorské iluminace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ale budou mít přístup i do stálé expozice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Stavy mysli / Za obrazem. </w:t>
      </w:r>
    </w:p>
    <w:p w14:paraId="5FBCF035" w14:textId="1C94648B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Další institucí, která stála u zrodu společné vstupenky, je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České muzeum stříbra</w:t>
      </w:r>
      <w:r w:rsidR="00975DFB">
        <w:rPr>
          <w:rFonts w:ascii="Rhymes Display" w:eastAsia="Times New Roman" w:hAnsi="Rhymes Display" w:cs="Times New Roman"/>
          <w:i/>
          <w:iCs/>
          <w:sz w:val="20"/>
          <w:szCs w:val="20"/>
        </w:rPr>
        <w:t xml:space="preserve"> </w:t>
      </w:r>
      <w:r w:rsidR="00975DFB" w:rsidRPr="00975DFB">
        <w:rPr>
          <w:rFonts w:ascii="Rhymes Display" w:eastAsia="Times New Roman" w:hAnsi="Rhymes Display" w:cs="Times New Roman"/>
          <w:sz w:val="20"/>
          <w:szCs w:val="20"/>
        </w:rPr>
        <w:t>sídlící na Hrádku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jehož expozice a středověký důl se </w:t>
      </w:r>
      <w:r w:rsidR="00127706">
        <w:rPr>
          <w:rFonts w:ascii="Rhymes Display" w:eastAsia="Times New Roman" w:hAnsi="Rhymes Display" w:cs="Times New Roman"/>
          <w:sz w:val="20"/>
          <w:szCs w:val="20"/>
        </w:rPr>
        <w:t>přímo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vztahují k tématu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Kutnohorské iluminace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. Vstupenka umožní držiteli návštěvu druhého </w:t>
      </w:r>
      <w:r>
        <w:rPr>
          <w:rFonts w:ascii="Rhymes Display" w:eastAsia="Times New Roman" w:hAnsi="Rhymes Display" w:cs="Times New Roman"/>
          <w:sz w:val="20"/>
          <w:szCs w:val="20"/>
        </w:rPr>
        <w:lastRenderedPageBreak/>
        <w:t xml:space="preserve">okruhu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Cesta stříbra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který přibližuje celý proces středověké těžby, zpracování surového stříbra a zároveň i technologii ražby mincí. Na tento okruh je nutné se předem objednat. </w:t>
      </w:r>
    </w:p>
    <w:p w14:paraId="6E58153E" w14:textId="77777777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Třetí institucí, která je součástí společné vstupenky, je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Vlašský dvůr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, národní kulturní památka a jedinečná mincovna českých králů, jejíž historie sahá až do první poloviny 14. století. V rámci vstupenky 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Spolu… za Kutnohorskou iluminací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budou mít návštěvníci možnost vstoupit do královské mincovny. V interaktivní expozici se na základě výjevů z </w:t>
      </w:r>
      <w:r>
        <w:rPr>
          <w:rFonts w:ascii="Rhymes Display" w:eastAsia="Times New Roman" w:hAnsi="Rhymes Display" w:cs="Times New Roman"/>
          <w:i/>
          <w:iCs/>
          <w:sz w:val="20"/>
          <w:szCs w:val="20"/>
        </w:rPr>
        <w:t>Kutnohorské iluminace</w:t>
      </w:r>
      <w:r>
        <w:rPr>
          <w:rFonts w:ascii="Rhymes Display" w:eastAsia="Times New Roman" w:hAnsi="Rhymes Display" w:cs="Times New Roman"/>
          <w:sz w:val="20"/>
          <w:szCs w:val="20"/>
        </w:rPr>
        <w:t xml:space="preserve"> seznámí s prací všech různých profesí spojených se zpracováním rudy a s ražbou mincí. </w:t>
      </w:r>
    </w:p>
    <w:p w14:paraId="4433CC42" w14:textId="77777777" w:rsidR="00AE052A" w:rsidRDefault="00AE052A">
      <w:pPr>
        <w:pStyle w:val="TextA"/>
        <w:spacing w:line="276" w:lineRule="auto"/>
        <w:ind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122FC6A3" w14:textId="77777777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Nechte se (s)vést uměním! </w:t>
      </w:r>
    </w:p>
    <w:p w14:paraId="4DE419B4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42BAFAF6" w14:textId="77777777" w:rsidR="00AE052A" w:rsidRDefault="00196B0E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  <w:r>
        <w:rPr>
          <w:rFonts w:ascii="Rhymes Display" w:eastAsia="Times New Roman" w:hAnsi="Rhymes Display" w:cs="Times New Roman"/>
          <w:sz w:val="20"/>
          <w:szCs w:val="20"/>
        </w:rPr>
        <w:t xml:space="preserve">GASK – Galerie Středočeského kraje sídlí v bývalé jezuitské koleji v Kutné Hoře. Je institucí zaměřenou svou sbírkou i výstavním programem na výtvarné umění 20. a 21. století. </w:t>
      </w:r>
    </w:p>
    <w:p w14:paraId="1A3A90C7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p w14:paraId="53D0DADD" w14:textId="77777777" w:rsidR="00AE052A" w:rsidRDefault="00AE052A">
      <w:pPr>
        <w:pStyle w:val="TextA"/>
        <w:spacing w:line="276" w:lineRule="auto"/>
        <w:ind w:left="567" w:right="567"/>
        <w:jc w:val="both"/>
        <w:rPr>
          <w:rFonts w:ascii="Rhymes Display" w:eastAsia="Times New Roman" w:hAnsi="Rhymes Display" w:cs="Times New Roman"/>
          <w:sz w:val="20"/>
          <w:szCs w:val="20"/>
        </w:rPr>
      </w:pPr>
    </w:p>
    <w:sectPr w:rsidR="00AE052A">
      <w:headerReference w:type="default" r:id="rId7"/>
      <w:footerReference w:type="default" r:id="rId8"/>
      <w:pgSz w:w="11906" w:h="16838"/>
      <w:pgMar w:top="624" w:right="567" w:bottom="828" w:left="567" w:header="56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4E18" w14:textId="77777777" w:rsidR="00933B11" w:rsidRDefault="00196B0E">
      <w:r>
        <w:separator/>
      </w:r>
    </w:p>
  </w:endnote>
  <w:endnote w:type="continuationSeparator" w:id="0">
    <w:p w14:paraId="79F9DA39" w14:textId="77777777" w:rsidR="00933B11" w:rsidRDefault="0019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EE"/>
    <w:family w:val="roman"/>
    <w:pitch w:val="variable"/>
  </w:font>
  <w:font w:name="Rhymes Display">
    <w:altName w:val="Calibri"/>
    <w:panose1 w:val="00000000000000000000"/>
    <w:charset w:val="00"/>
    <w:family w:val="modern"/>
    <w:notTrueType/>
    <w:pitch w:val="variable"/>
    <w:sig w:usb0="A10000BF" w:usb1="4200207B" w:usb2="00000000" w:usb3="00000000" w:csb0="00000193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6D0D" w14:textId="77777777" w:rsidR="00AE052A" w:rsidRDefault="00196B0E">
    <w:pPr>
      <w:pStyle w:val="Zpat"/>
    </w:pPr>
    <w:r>
      <w:rPr>
        <w:noProof/>
      </w:rPr>
      <w:drawing>
        <wp:inline distT="0" distB="0" distL="0" distR="0" wp14:anchorId="257BDD8B" wp14:editId="1BEEF46A">
          <wp:extent cx="6836410" cy="783590"/>
          <wp:effectExtent l="0" t="0" r="0" b="0"/>
          <wp:docPr id="2" name="Obrázek1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2F73" w14:textId="77777777" w:rsidR="00933B11" w:rsidRDefault="00196B0E">
      <w:r>
        <w:separator/>
      </w:r>
    </w:p>
  </w:footnote>
  <w:footnote w:type="continuationSeparator" w:id="0">
    <w:p w14:paraId="6DE79E3C" w14:textId="77777777" w:rsidR="00933B11" w:rsidRDefault="0019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D591" w14:textId="77777777" w:rsidR="00AE052A" w:rsidRDefault="00196B0E">
    <w:pPr>
      <w:pStyle w:val="Zhlav"/>
    </w:pPr>
    <w:r>
      <w:rPr>
        <w:noProof/>
      </w:rPr>
      <w:drawing>
        <wp:inline distT="0" distB="0" distL="0" distR="0" wp14:anchorId="6CC2ED77" wp14:editId="0D1CD09D">
          <wp:extent cx="2850515" cy="695325"/>
          <wp:effectExtent l="0" t="0" r="0" b="0"/>
          <wp:docPr id="1" name="officeArt object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á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2A"/>
    <w:rsid w:val="00127706"/>
    <w:rsid w:val="00196B0E"/>
    <w:rsid w:val="001E0D39"/>
    <w:rsid w:val="00686E4F"/>
    <w:rsid w:val="00933B11"/>
    <w:rsid w:val="00975DFB"/>
    <w:rsid w:val="00A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1BAA"/>
  <w15:docId w15:val="{C9A8B25A-3F47-4245-BCC8-2811553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563"/>
    <w:rPr>
      <w:color w:val="0000FF" w:themeColor="hyperlink"/>
      <w:u w:val="single"/>
    </w:rPr>
  </w:style>
  <w:style w:type="character" w:customStyle="1" w:styleId="slodku1">
    <w:name w:val="Číslo řádku1"/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F46563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Zpat">
    <w:name w:val="footer"/>
    <w:pPr>
      <w:tabs>
        <w:tab w:val="center" w:pos="4680"/>
        <w:tab w:val="right" w:pos="9360"/>
      </w:tabs>
      <w:spacing w:after="8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TextA">
    <w:name w:val="Text A"/>
    <w:qFormat/>
    <w:pPr>
      <w:spacing w:after="80"/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sicParagraph">
    <w:name w:val="[Basic Paragraph]"/>
    <w:uiPriority w:val="99"/>
    <w:qFormat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k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614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dc:description/>
  <cp:lastModifiedBy>Alena Sedláčková</cp:lastModifiedBy>
  <cp:revision>23</cp:revision>
  <cp:lastPrinted>2023-03-15T10:33:00Z</cp:lastPrinted>
  <dcterms:created xsi:type="dcterms:W3CDTF">2023-03-07T12:10:00Z</dcterms:created>
  <dcterms:modified xsi:type="dcterms:W3CDTF">2023-03-21T11:08:00Z</dcterms:modified>
  <dc:language>cs-CZ</dc:language>
</cp:coreProperties>
</file>