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A"/>
        <w:spacing w:lineRule="auto" w:line="276"/>
        <w:ind w:right="567" w:hanging="0"/>
        <w:jc w:val="both"/>
        <w:rPr>
          <w:rFonts w:ascii="Rhymes Display" w:hAnsi="Rhymes Display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Rhymes Display" w:hAnsi="Rhymes Display"/>
          <w:b/>
          <w:bCs/>
          <w:sz w:val="20"/>
          <w:szCs w:val="20"/>
        </w:rPr>
      </w:r>
    </w:p>
    <w:p>
      <w:pPr>
        <w:pStyle w:val="TextA"/>
        <w:spacing w:lineRule="auto" w:line="276"/>
        <w:ind w:right="567" w:firstLine="567"/>
        <w:jc w:val="both"/>
        <w:rPr>
          <w:rFonts w:ascii="Rhymes Display" w:hAnsi="Rhymes Display" w:eastAsia="Times New Roman" w:cs="Times New Roman"/>
          <w:b/>
          <w:bCs/>
        </w:rPr>
      </w:pPr>
      <w:r>
        <w:rPr>
          <w:rFonts w:eastAsia="Times New Roman" w:cs="Times New Roman" w:ascii="Rhymes Display" w:hAnsi="Rhymes Display"/>
          <w:b/>
          <w:bCs/>
        </w:rPr>
        <w:t>TISKOVÁ ZPRÁVA</w:t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Rhymes Display" w:hAnsi="Rhymes Display"/>
          <w:b/>
          <w:bCs/>
          <w:sz w:val="20"/>
          <w:szCs w:val="20"/>
        </w:rPr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b/>
          <w:bCs/>
        </w:rPr>
      </w:pPr>
      <w:r>
        <w:rPr>
          <w:rFonts w:eastAsia="Times New Roman" w:cs="Times New Roman" w:ascii="Rhymes Display" w:hAnsi="Rhymes Display"/>
          <w:b/>
          <w:bCs/>
        </w:rPr>
        <w:t>Jiří Surůvka a Kateřina Štenclová vystavují v GASK</w:t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b w:val="false"/>
          <w:bCs w:val="false"/>
          <w:sz w:val="20"/>
          <w:szCs w:val="20"/>
        </w:rPr>
      </w:pPr>
      <w:r>
        <w:rPr>
          <w:rFonts w:eastAsia="Times New Roman" w:cs="Times New Roman" w:ascii="Rhymes Display" w:hAnsi="Rhymes Display"/>
          <w:b w:val="false"/>
          <w:bCs w:val="false"/>
          <w:sz w:val="20"/>
          <w:szCs w:val="20"/>
        </w:rPr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Galerie Středočeského kraje v Kutné Hoře otvírá 1. dubna dvě nové expozice. Výstava </w:t>
      </w:r>
      <w:r>
        <w:rPr>
          <w:rFonts w:eastAsia="Times New Roman" w:cs="Times New Roman" w:ascii="Rhymes Display" w:hAnsi="Rhymes Display"/>
          <w:sz w:val="20"/>
          <w:szCs w:val="20"/>
        </w:rPr>
        <w:t>Strůjci války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 představuje v retrospektivním pojetí mnohovrstevnatou multimediální tvorbu ostravského umělce, „kabaretního“ performera a vysokoškolského pedagoga Jiřího Surůvky. Výstava prostřednictvím digitálních tisků a koláží zesměšňuje pokrytecký konzumerismus, politickou propagandu a válečnou mašin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e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rii. Přestože jsou mnohé z prací staršího data, nabývají na naléhavé aktuálnosti ve světle společensko-politické situace současného světa. Druhá z nových expozic nese název </w:t>
      </w:r>
      <w:r>
        <w:rPr>
          <w:rFonts w:eastAsia="Times New Roman" w:cs="Times New Roman" w:ascii="Rhymes Display" w:hAnsi="Rhymes Display"/>
          <w:sz w:val="20"/>
          <w:szCs w:val="20"/>
        </w:rPr>
        <w:t>Na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 </w:t>
      </w:r>
      <w:r>
        <w:rPr>
          <w:rFonts w:eastAsia="Times New Roman" w:cs="Times New Roman" w:ascii="Rhymes Display" w:hAnsi="Rhymes Display"/>
          <w:sz w:val="20"/>
          <w:szCs w:val="20"/>
        </w:rPr>
        <w:t>hladině času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a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představuje téma zpracovávané v současné tvorbě malířky Kateřiny Štenclové, jedné z mála českých umělkyň, které se vyjadřují výhradně abstraktní malbou. Výstavou v GASK posouvá autorka abstraktní malbu k site-specific instalacím, které konfrontuje se svojí prostorovou malbou. Vernisáže obou výstav proběhnou v Galerii Středočeského kraje 1. dubna 2023 od 16 a od 17 hodin. </w:t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i/>
          <w:i/>
          <w:iCs/>
          <w:sz w:val="20"/>
          <w:szCs w:val="20"/>
        </w:rPr>
      </w:pPr>
      <w:r>
        <w:rPr>
          <w:rFonts w:eastAsia="Times New Roman" w:cs="Times New Roman" w:ascii="Rhymes Display" w:hAnsi="Rhymes Display"/>
          <w:i/>
          <w:iCs/>
          <w:sz w:val="20"/>
          <w:szCs w:val="20"/>
        </w:rPr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  <w:t xml:space="preserve">Nepřehlédnutelná svérázná osobnost české výtvarné scény Jiří Surůvka vstoupil živelně do uměleckého prostoru v 90. letech 20. století založením umělecké skupiny Přirození (1989), považované za autentické jádro severomoravského výtvarného dění. Umělec na svém tažení nedobyl pouze Ostravu a poté Prahu, ale dosáhl i širšího mezinárodního věhlasu. Název výstavy v kutnohorské GASK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Strůjci války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odkazuje ke stejnojmenné, dnes již ikonické sérii digitálních koláží vzniklých v období 1996–2020, inspirované americkým časopisem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Life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z roku 1939, v němž byly uveřejněny fotografie z bojiště v době, kdy nacistické Německo napadlo Polsko. Současně o </w:t>
      </w:r>
      <w:r>
        <w:rPr>
          <w:rFonts w:eastAsia="Times New Roman" w:cs="Times New Roman" w:ascii="Rhymes Display" w:hAnsi="Rhymes Display"/>
          <w:sz w:val="20"/>
          <w:szCs w:val="20"/>
        </w:rPr>
        <w:t>několik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stra</w:t>
      </w:r>
      <w:r>
        <w:rPr>
          <w:rFonts w:eastAsia="Times New Roman" w:cs="Times New Roman" w:ascii="Rhymes Display" w:hAnsi="Rhymes Display"/>
          <w:sz w:val="20"/>
          <w:szCs w:val="20"/>
        </w:rPr>
        <w:t>n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dále publikace vybízela své čtenáře sloganem </w:t>
      </w:r>
      <w:r>
        <w:rPr>
          <w:rFonts w:eastAsia="Times New Roman" w:cs="Times New Roman" w:ascii="Rhymes Display" w:hAnsi="Rhymes Display"/>
          <w:i w:val="false"/>
          <w:iCs w:val="false"/>
          <w:sz w:val="20"/>
          <w:szCs w:val="20"/>
        </w:rPr>
        <w:t>„Play with your food“</w:t>
      </w:r>
      <w:r>
        <w:rPr>
          <w:rFonts w:eastAsia="Times New Roman" w:cs="Times New Roman" w:ascii="Rhymes Display" w:hAnsi="Rhymes Display"/>
          <w:sz w:val="20"/>
          <w:szCs w:val="20"/>
        </w:rPr>
        <w:t>, aby si ze zeleniny a ovoce poskládali veselé obličeje, figurky či zvířátka dle návod</w:t>
      </w:r>
      <w:r>
        <w:rPr>
          <w:rFonts w:eastAsia="Times New Roman" w:cs="Times New Roman" w:ascii="Rhymes Display" w:hAnsi="Rhymes Display"/>
          <w:sz w:val="20"/>
          <w:szCs w:val="20"/>
        </w:rPr>
        <w:t>n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ých ilustrací. Surůvka nekompromisně staví na tomto naprosto absurdním kontrastu. Na pozadí tvořené obrazy reálných válečných hrůz implantoval obskurní postavy pana Hrušky, Pomeranče či Hrozna v zaníceném gestu koncertních mistrů. Kolekci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Strůjci války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doplňují i obdobně laděné digitální tisky pracující s masmediálním a pop-artovým mixem. Další silnou linií výstavy jsou objekty a instalace tematicky vázané na Surůvkův antimilitaristický aktivismus reflektující lidskou malost, povrchnost a tragikomičnost. Instalace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 Otcovství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a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Mateřství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představí v genderově vyvážené kontrapozici polidštěné komiksové postavy Batman</w:t>
      </w:r>
      <w:r>
        <w:rPr>
          <w:rFonts w:eastAsia="Times New Roman" w:cs="Times New Roman" w:ascii="Rhymes Display" w:hAnsi="Rhymes Display"/>
          <w:sz w:val="20"/>
          <w:szCs w:val="20"/>
        </w:rPr>
        <w:t>a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a Batmanky v roli starostlivých rodičů. Třetí poloha vystavených prací se zaměřuje na 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autorovo </w:t>
      </w:r>
      <w:r>
        <w:rPr>
          <w:rFonts w:eastAsia="Times New Roman" w:cs="Times New Roman" w:ascii="Rhymes Display" w:hAnsi="Rhymes Display"/>
          <w:sz w:val="20"/>
          <w:szCs w:val="20"/>
        </w:rPr>
        <w:t>kontinuální performe</w:t>
      </w:r>
      <w:r>
        <w:rPr>
          <w:rFonts w:eastAsia="Times New Roman" w:cs="Times New Roman" w:ascii="Rhymes Display" w:hAnsi="Rhymes Display"/>
          <w:sz w:val="20"/>
          <w:szCs w:val="20"/>
        </w:rPr>
        <w:t>r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ské působení. Výstava se koná v Galerii Středočeského kraje od 2. dubna do 17. září 2023 a její kurátorkou je Veronika Marešová. </w:t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  <w:t>Kateřina Štenclová vystudovala malbu na Akademii výtvarných umění v Praze. V 80. letech se účastnila výstav neoficiálního umění, od 90. let vystavuje samostatně v Čechách, v Evropě, USA i Asii. Získala několik zahraničních cen a dočkala se ohlasu v předních uměleckých časopisech (Art in America, Artforum). Dlouhodobým zájmem malířky je tzv. prostorová malba. Prostřednictvím barvy, která hraje určující roli, uchopuje prostor, a to jak způsobem malby, tak jejím přesahováním z vymezeného prostoru obrazu. Štenclová, která s barvou začala experimentovat již za svých studentských let v 80. letech 20. století, se neustále snaží o posouvání hranic. Abstraktní malbu p</w:t>
      </w:r>
      <w:r>
        <w:rPr>
          <w:rFonts w:eastAsia="Times New Roman" w:cs="Times New Roman" w:ascii="Rhymes Display" w:hAnsi="Rhymes Display"/>
          <w:sz w:val="20"/>
          <w:szCs w:val="20"/>
        </w:rPr>
        <w:t>o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souvá k site-specific instalacím vytvořeným z igelitových podložek, které nesou bezprostřední barevné stopy tvůrčího procesu malování na plátno. Poprvé s nimi začala pracovat v roce 2007, kdy náhodně vzniklé barevné kompozice na průhledných igelitech uchopila jako transparentní obraz, do něhož prostřednictvím světla vstupuje prostor. Posun obrazového vnímání pak zpracovává v cyklu obrazů nazvaném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Vhledy</w:t>
      </w:r>
      <w:r>
        <w:rPr>
          <w:rFonts w:eastAsia="Times New Roman" w:cs="Times New Roman" w:ascii="Rhymes Display" w:hAnsi="Rhymes Display"/>
          <w:sz w:val="20"/>
          <w:szCs w:val="20"/>
        </w:rPr>
        <w:t>, kde se nechává volně inspirovat fotografiemi pořízenými (často nezáměrně) vlastním mobilním telefonem. „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Je to právě propojení malby a instalace, kter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é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 xml:space="preserve"> mi dává možnost odkrývat problematiku hry s iluzivností obrazu a zároveň konkrétností objektu, která mne tak zajímá při objevování našeho současného i podprahového vnímání prostoru,“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uvádí Kateřina Štenclová. Výběr autorčiných prací společně s instalacemi </w:t>
      </w:r>
      <w:r>
        <w:rPr>
          <w:rFonts w:eastAsia="Times New Roman" w:cs="Times New Roman" w:ascii="Rhymes Display" w:hAnsi="Rhymes Display"/>
          <w:i/>
          <w:iCs/>
          <w:sz w:val="20"/>
          <w:szCs w:val="20"/>
        </w:rPr>
        <w:t>in situ</w:t>
      </w:r>
      <w:r>
        <w:rPr>
          <w:rFonts w:eastAsia="Times New Roman" w:cs="Times New Roman" w:ascii="Rhymes Display" w:hAnsi="Rhymes Display"/>
          <w:sz w:val="20"/>
          <w:szCs w:val="20"/>
        </w:rPr>
        <w:t xml:space="preserve"> promění prostor Café Fatal v jednotný vizuální celek. Výstavu budou moci návštěvníci zhlédnout od 2. dubna do 17. září 2023, její kurátorkou je Adriana Primusová. </w:t>
      </w:r>
    </w:p>
    <w:p>
      <w:pPr>
        <w:pStyle w:val="TextA"/>
        <w:spacing w:lineRule="auto" w:line="276"/>
        <w:ind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  <w:t xml:space="preserve">Nechte se (s)vést uměním! </w:t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  <w:t xml:space="preserve">GASK – Galerie Středočeského kraje sídlí v bývalé jezuitské koleji v Kutné Hoře. Je institucí zaměřenou svou sbírkou i výstavním programem na výtvarné umění 20. a 21. století. </w:t>
      </w:r>
    </w:p>
    <w:p>
      <w:pPr>
        <w:pStyle w:val="TextA"/>
        <w:spacing w:lineRule="auto" w:line="276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>
          <w:rFonts w:eastAsia="Times New Roman" w:cs="Times New Roman" w:ascii="Rhymes Display" w:hAnsi="Rhymes Display"/>
          <w:sz w:val="20"/>
          <w:szCs w:val="20"/>
        </w:rPr>
      </w:r>
    </w:p>
    <w:p>
      <w:pPr>
        <w:pStyle w:val="TextA"/>
        <w:spacing w:lineRule="auto" w:line="276" w:before="0" w:after="80"/>
        <w:ind w:left="567" w:right="567" w:hanging="0"/>
        <w:jc w:val="both"/>
        <w:rPr>
          <w:rFonts w:ascii="Rhymes Display" w:hAnsi="Rhymes Display" w:eastAsia="Times New Roman" w:cs="Times New Roman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gutter="0" w:header="567" w:top="624" w:footer="567" w:bottom="82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Minion Pro">
    <w:charset w:val="ee"/>
    <w:family w:val="roman"/>
    <w:pitch w:val="variable"/>
  </w:font>
  <w:font w:name="Rhymes Displa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widowControl/>
      <w:suppressAutoHyphens w:val="true"/>
      <w:bidi w:val="0"/>
      <w:spacing w:before="0" w:after="80"/>
      <w:jc w:val="left"/>
      <w:rPr/>
    </w:pPr>
    <w:r>
      <w:rPr/>
      <w:drawing>
        <wp:inline distT="0" distB="0" distL="0" distR="0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widowControl/>
      <w:suppressAutoHyphens w:val="true"/>
      <w:bidi w:val="0"/>
      <w:spacing w:before="0" w:after="80"/>
      <w:jc w:val="left"/>
      <w:rPr/>
    </w:pPr>
    <w:r>
      <w:rPr/>
      <w:drawing>
        <wp:inline distT="0" distB="0" distL="0" distR="0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8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textovodkaz1" w:customStyle="1">
    <w:name w:val="Hypertextový odkaz1"/>
    <w:qFormat/>
    <w:rPr>
      <w:u w:val="single"/>
    </w:rPr>
  </w:style>
  <w:style w:type="character" w:styleId="Slodku1" w:customStyle="1">
    <w:name w:val="Číslo řádku1"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Pr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pPr>
      <w:widowControl/>
      <w:tabs>
        <w:tab w:val="clear" w:pos="709"/>
        <w:tab w:val="center" w:pos="4680" w:leader="none"/>
        <w:tab w:val="right" w:pos="9360" w:leader="none"/>
      </w:tabs>
      <w:suppressAutoHyphens w:val="true"/>
      <w:bidi w:val="0"/>
      <w:spacing w:before="0" w:after="80"/>
      <w:jc w:val="left"/>
    </w:pPr>
    <w:rPr>
      <w:rFonts w:ascii="Calibri" w:hAnsi="Calibri" w:eastAsia="Arial Unicode MS" w:cs="Arial Unicode MS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Zpat">
    <w:name w:val="Footer"/>
    <w:pPr>
      <w:widowControl/>
      <w:tabs>
        <w:tab w:val="clear" w:pos="709"/>
        <w:tab w:val="center" w:pos="4680" w:leader="none"/>
        <w:tab w:val="right" w:pos="9360" w:leader="none"/>
      </w:tabs>
      <w:suppressAutoHyphens w:val="true"/>
      <w:bidi w:val="0"/>
      <w:spacing w:before="0" w:after="80"/>
      <w:jc w:val="left"/>
    </w:pPr>
    <w:rPr>
      <w:rFonts w:ascii="Calibri" w:hAnsi="Calibri" w:eastAsia="Arial Unicode MS" w:cs="Arial Unicode MS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TextA" w:customStyle="1">
    <w:name w:val="Text A"/>
    <w:qFormat/>
    <w:pPr>
      <w:widowControl/>
      <w:suppressAutoHyphens w:val="true"/>
      <w:bidi w:val="0"/>
      <w:spacing w:before="0" w:after="80"/>
      <w:jc w:val="left"/>
    </w:pPr>
    <w:rPr>
      <w:rFonts w:ascii="Calibri" w:hAnsi="Calibri" w:eastAsia="Arial Unicode MS" w:cs="Arial Unicode MS"/>
      <w:color w:val="000000"/>
      <w:kern w:val="0"/>
      <w:sz w:val="24"/>
      <w:szCs w:val="24"/>
      <w:u w:val="none" w:color="000000"/>
      <w:lang w:val="cs-CZ" w:eastAsia="cs-CZ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sicParagraph" w:customStyle="1">
    <w:name w:val="[Basic Paragraph]"/>
    <w:uiPriority w:val="99"/>
    <w:qFormat/>
    <w:pPr>
      <w:widowControl/>
      <w:suppressAutoHyphens w:val="true"/>
      <w:bidi w:val="0"/>
      <w:spacing w:lineRule="auto" w:line="288" w:before="0" w:after="0"/>
      <w:jc w:val="left"/>
    </w:pPr>
    <w:rPr>
      <w:rFonts w:ascii="Minion Pro" w:hAnsi="Minion Pro" w:eastAsia="Minion Pro" w:cs="Minion Pro"/>
      <w:color w:val="000000"/>
      <w:kern w:val="0"/>
      <w:sz w:val="24"/>
      <w:szCs w:val="24"/>
      <w:u w:val="none" w:color="000000"/>
      <w:lang w:val="en-US" w:eastAsia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LibreOffice/7.5.0.3$Windows_X86_64 LibreOffice_project/c21113d003cd3efa8c53188764377a8272d9d6de</Application>
  <AppVersion>15.0000</AppVersion>
  <Pages>2</Pages>
  <Words>628</Words>
  <Characters>3926</Characters>
  <CharactersWithSpaces>4552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2023-03-23T09:40:00Z</dcterms:created>
  <dc:creator>Alena Sedláčková</dc:creator>
  <dc:description/>
  <dc:language>cs-CZ</dc:language>
  <cp:lastModifiedBy/>
  <cp:lastPrinted>2023-03-24T10:03:00Z</cp:lastPrinted>
  <dcterms:modified xsi:type="dcterms:W3CDTF">2023-03-27T15:13:02Z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