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012A" w14:textId="77777777" w:rsidR="00190D44" w:rsidRDefault="00190D4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</w:p>
    <w:p w14:paraId="595395CD" w14:textId="77777777" w:rsidR="00190D44" w:rsidRDefault="00190D44">
      <w:pPr>
        <w:pStyle w:val="TextA"/>
        <w:spacing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</w:rPr>
      </w:pPr>
    </w:p>
    <w:p w14:paraId="76A6C8BD" w14:textId="77777777" w:rsidR="00190D44" w:rsidRDefault="00DE3E17">
      <w:pPr>
        <w:pStyle w:val="TextA"/>
        <w:spacing w:line="276" w:lineRule="auto"/>
        <w:ind w:right="567" w:firstLine="567"/>
        <w:jc w:val="both"/>
      </w:pPr>
      <w:r>
        <w:rPr>
          <w:rFonts w:ascii="Rhymes Display" w:eastAsia="Times New Roman" w:hAnsi="Rhymes Display" w:cs="Times New Roman"/>
          <w:b/>
          <w:bCs/>
        </w:rPr>
        <w:t>TISKOVÁ ZPRÁVA</w:t>
      </w:r>
    </w:p>
    <w:p w14:paraId="776FF0BE" w14:textId="77777777" w:rsidR="00190D44" w:rsidRDefault="00190D44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</w:p>
    <w:p w14:paraId="1C73B36B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b/>
          <w:bCs/>
        </w:rPr>
        <w:t>V GASK bude vystaveno polské nezávislé umění osmdesátých let</w:t>
      </w:r>
    </w:p>
    <w:p w14:paraId="1DB6D63B" w14:textId="77777777" w:rsidR="00190D44" w:rsidRDefault="00190D44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0A455E6B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Galerie Středočeského kraje otvírá 27. května průřezovou výstavu polského nezávislého umění 80. let 20. století – </w:t>
      </w:r>
      <w:r>
        <w:rPr>
          <w:rFonts w:ascii="Rhymes Display" w:eastAsia="Times New Roman" w:hAnsi="Rhymes Display" w:cs="Times New Roman"/>
          <w:sz w:val="20"/>
          <w:szCs w:val="20"/>
        </w:rPr>
        <w:t>Necenzurováno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. Jde o představení polského ekvivalentu tehdejší české neoficiální výtvarné scény, reagující na realitu Solidarity a výjimečného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stavu (1981–1983). Je to umění angažované a ponořené do dějinného kontextu, přesto i v dnešních souvislostech stále aktuální. V prostorách Galerie Středočeského kraje budou představena díla cca šedesáti umělců, kteří během 80. let na protest proti vyhláše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ní výjimečného stavu bojkotovali kulturní politiku komunistických orgánů Polské lidové republiky. Výstava se koná ve spolupráci s Centrem současného umění – Zámek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Ujazdowski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ve Varšavě, Institutem Adama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Mickiewicze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a Polským institutem v Praze. </w:t>
      </w:r>
    </w:p>
    <w:p w14:paraId="2243DF34" w14:textId="77777777" w:rsidR="00190D44" w:rsidRDefault="00190D44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0D68770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>Situace v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 polské kultuře osmdesátých let byla výjimečná. Většina významných umělců se ztotožňovala se společenskou aktivizací v boji za svobodu, která byla spojena s masovými </w:t>
      </w:r>
      <w:proofErr w:type="gramStart"/>
      <w:r>
        <w:rPr>
          <w:rFonts w:ascii="Rhymes Display" w:eastAsia="Times New Roman" w:hAnsi="Rhymes Display" w:cs="Times New Roman"/>
          <w:sz w:val="20"/>
          <w:szCs w:val="20"/>
        </w:rPr>
        <w:t>stávkami  ze</w:t>
      </w:r>
      <w:proofErr w:type="gramEnd"/>
      <w:r>
        <w:rPr>
          <w:rFonts w:ascii="Rhymes Display" w:eastAsia="Times New Roman" w:hAnsi="Rhymes Display" w:cs="Times New Roman"/>
          <w:sz w:val="20"/>
          <w:szCs w:val="20"/>
        </w:rPr>
        <w:t xml:space="preserve"> srpna 1980 a se vznikem celonárodního nezávislého odborového hnutí Solidarita</w:t>
      </w:r>
      <w:r>
        <w:rPr>
          <w:rFonts w:ascii="Rhymes Display" w:eastAsia="Times New Roman" w:hAnsi="Rhymes Display" w:cs="Times New Roman"/>
          <w:sz w:val="20"/>
          <w:szCs w:val="20"/>
        </w:rPr>
        <w:t>. Ústupky na straně režimu umožnily zvýšení občanské svobody a omezení zásahů státní cenzury. Vyhlášení výjimečného stavu polskou komunistickou mocí dne 13. prosince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1981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za dramatických okolností přerušilo tento takzvaný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Karneval Solidarity. </w:t>
      </w:r>
      <w:r>
        <w:rPr>
          <w:rFonts w:ascii="Rhymes Display" w:eastAsia="Times New Roman" w:hAnsi="Rhymes Display" w:cs="Times New Roman"/>
          <w:sz w:val="20"/>
          <w:szCs w:val="20"/>
        </w:rPr>
        <w:t>Navzdory tomu</w:t>
      </w:r>
      <w:r>
        <w:rPr>
          <w:rFonts w:ascii="Rhymes Display" w:eastAsia="Times New Roman" w:hAnsi="Rhymes Display" w:cs="Times New Roman"/>
          <w:sz w:val="20"/>
          <w:szCs w:val="20"/>
        </w:rPr>
        <w:t>, že nastalo období masových represí, komunistické moci se nepovedlo ducha svobody zlomit. V roce 1989 se tak mohl přetavit ve změnu režimu v Polsku. Na znamení solidarity s trpící společností odmítla po událostech z prosince 1981 řada umělců kooperovat se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strukturami komunistického státu a bojkotovala kulturní politiku státní moci.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„Pro umělce bylo zásadní hledat neoficiální cesty, jak sdílet s výtvarným publikem svou tvorbu.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Jedním z prvních a originálních způsobů byly takzvané kufrové výstavy, kdy vystav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ující umělci vytvářeli malé obrazy nebo zmenšené verze svých rozměrnějších děl a ty se následně v kufru přenášely z bytu do bytu, kde probíhaly přehlídky umění mimo dohled všudypřítomné cenzury,“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říká kurátor výstavy Tadeusz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Boruta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>. Nezávislé umělecké hnut</w:t>
      </w:r>
      <w:r>
        <w:rPr>
          <w:rFonts w:ascii="Rhymes Display" w:eastAsia="Times New Roman" w:hAnsi="Rhymes Display" w:cs="Times New Roman"/>
          <w:sz w:val="20"/>
          <w:szCs w:val="20"/>
        </w:rPr>
        <w:t>í brzy nalezlo prostor pro veřejné výstavy u římskokatolické církve, jež byla v té době významnou společenskou silou a otevřela se umělcům, kteří bojkotovali komunistický režim. Mimo dohled cenzury tak vznikal bezpočet výtvarných, literárních, dramatických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či hudebních děl, jejichž tvůrci manifestovali svou nezávislost s vědomím, že pouze nezávislá kultura je s to vyjádřit onu základní lidskou zkušenost, jíž je touha po svobodě. </w:t>
      </w:r>
    </w:p>
    <w:p w14:paraId="61169A58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Výstava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Necenzurováno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je pokusem ukázat fenomén polského nezávislého kulturníh</w:t>
      </w:r>
      <w:r>
        <w:rPr>
          <w:rFonts w:ascii="Rhymes Display" w:eastAsia="Times New Roman" w:hAnsi="Rhymes Display" w:cs="Times New Roman"/>
          <w:sz w:val="20"/>
          <w:szCs w:val="20"/>
        </w:rPr>
        <w:t>o hnutí osmdesátých let. Expozice v Galerii Středočeského kraje představuje sedm tematických okruhů, jejichž označení čerpá z názvů významných nezávislých výstav osmdesátých let nebo důležitých umělecký děl z této doby (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Dusno, Oranžová alternativa, Kufrová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výstava, Večeřadlo, Dřina, Květinový kříž, Proti zlu, proti násilí, Znamení kříže, Vězeňský obrázek, Vzteklý pes na zeleném pozadí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).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Necenzurováno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tak v celé komplexnosti prezentuje nejen výtvarné umění vznikající v době komunistického útlaku, ale i dobov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é fotografie, plakáty a dokumenty z protirežimních happeningů, kufrové výstavy v jejich původní podobě, nezávislé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divadlo a mnoho </w:t>
      </w:r>
      <w:r>
        <w:rPr>
          <w:rFonts w:ascii="Rhymes Display" w:eastAsia="Times New Roman" w:hAnsi="Rhymes Display" w:cs="Times New Roman"/>
          <w:sz w:val="20"/>
          <w:szCs w:val="20"/>
        </w:rPr>
        <w:t>dalšího. Vystavené umění reflektuje nejen jedince a společnost v období represe, ale také zásadní události této doby, jako byl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a vražda „kaplana Solidarity“ – kněze Jerzyho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lastRenderedPageBreak/>
        <w:t>Popie</w:t>
      </w:r>
      <w:r>
        <w:rPr>
          <w:rFonts w:ascii="Rhymes Display" w:eastAsia="Times New Roman" w:hAnsi="Rhymes Display" w:cs="Calibri"/>
          <w:sz w:val="20"/>
          <w:szCs w:val="20"/>
        </w:rPr>
        <w:t>ł</w:t>
      </w:r>
      <w:r>
        <w:rPr>
          <w:rFonts w:ascii="Rhymes Display" w:eastAsia="Times New Roman" w:hAnsi="Rhymes Display" w:cs="Times New Roman"/>
          <w:sz w:val="20"/>
          <w:szCs w:val="20"/>
        </w:rPr>
        <w:t>uszka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či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pokojné protesty v podobě rozkládání květinových křížů na veřejných prostranstvích, kdy při jednom z nich byli zastřeleni tři protestující. </w:t>
      </w:r>
    </w:p>
    <w:p w14:paraId="3B2C06D3" w14:textId="77777777" w:rsidR="00190D44" w:rsidRDefault="00190D44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30E92DD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Expozice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Necenzurováno – Polské nezávislé umění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80. let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se koná v GASK od 28. května do 17. září 2023. Jejím kurátorem je Tadeusz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Boruta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kurátorem za GASK je Richard Drury. </w:t>
      </w:r>
      <w:proofErr w:type="gramStart"/>
      <w:r>
        <w:rPr>
          <w:rFonts w:ascii="Rhymes Display" w:eastAsia="Times New Roman" w:hAnsi="Rhymes Display" w:cs="Times New Roman"/>
          <w:sz w:val="20"/>
          <w:szCs w:val="20"/>
        </w:rPr>
        <w:t>Vernisáž výstavy</w:t>
      </w:r>
      <w:proofErr w:type="gramEnd"/>
      <w:r>
        <w:rPr>
          <w:rFonts w:ascii="Rhymes Display" w:eastAsia="Times New Roman" w:hAnsi="Rhymes Display" w:cs="Times New Roman"/>
          <w:sz w:val="20"/>
          <w:szCs w:val="20"/>
        </w:rPr>
        <w:t xml:space="preserve"> proběhne 27. května od 16 hodin před výstavním prostorem Galerie 4 a doplní ji koncert polského zpěváka Lecha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Jan</w:t>
      </w:r>
      <w:r>
        <w:rPr>
          <w:rFonts w:ascii="Rhymes Display" w:eastAsia="Times New Roman" w:hAnsi="Rhymes Display" w:cs="Times New Roman"/>
          <w:sz w:val="20"/>
          <w:szCs w:val="20"/>
        </w:rPr>
        <w:t>erky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. Výstavu doprovodí série přednášek, filmových projekcí a besed konaných v prostorách Galerie Středočeského kraje, v Knihovně Václava Havla a v kině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Ponrepo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. K výstavě vyjde publikace a průvodce v českém a anglickém jazyce. </w:t>
      </w:r>
    </w:p>
    <w:p w14:paraId="0124E355" w14:textId="77777777" w:rsidR="00190D44" w:rsidRDefault="00190D4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7F31EC72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Záštitu nad výstavním proj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ektem převzala hejtmanka Středočeského kraje Mgr. Petra Pecková. Projekt byl podpořen z prostředků v rámci dotačního programu Ministerstva zahraničních věcí České republiky Česko-polské fórum. </w:t>
      </w:r>
    </w:p>
    <w:p w14:paraId="3948D6F0" w14:textId="77777777" w:rsidR="00190D44" w:rsidRDefault="00190D44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3A6A8E6E" w14:textId="77777777" w:rsidR="00190D44" w:rsidRDefault="00DE3E17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>GASK – Galerie Středočeského kraje sídlí v bývalé jezuitské k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oleji v Kutné Hoře. Je institucí zaměřenou svou sbírkou i výstavním programem na výtvarné umění 20. a 21. století. </w:t>
      </w:r>
    </w:p>
    <w:p w14:paraId="24E6D240" w14:textId="77777777" w:rsidR="00190D44" w:rsidRDefault="00190D4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461CB53F" w14:textId="77777777" w:rsidR="00190D44" w:rsidRDefault="00190D44">
      <w:pPr>
        <w:pStyle w:val="TextA"/>
        <w:spacing w:line="276" w:lineRule="auto"/>
        <w:ind w:right="567"/>
        <w:jc w:val="both"/>
      </w:pPr>
    </w:p>
    <w:sectPr w:rsidR="00190D44">
      <w:headerReference w:type="default" r:id="rId7"/>
      <w:footerReference w:type="default" r:id="rId8"/>
      <w:pgSz w:w="11906" w:h="16838"/>
      <w:pgMar w:top="624" w:right="567" w:bottom="828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AAB" w14:textId="77777777" w:rsidR="00000000" w:rsidRDefault="00DE3E17">
      <w:r>
        <w:separator/>
      </w:r>
    </w:p>
  </w:endnote>
  <w:endnote w:type="continuationSeparator" w:id="0">
    <w:p w14:paraId="420A390D" w14:textId="77777777" w:rsidR="00000000" w:rsidRDefault="00D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DEFD" w14:textId="77777777" w:rsidR="00190D44" w:rsidRDefault="00DE3E17">
    <w:pPr>
      <w:pStyle w:val="Zpat"/>
    </w:pPr>
    <w:r>
      <w:rPr>
        <w:noProof/>
      </w:rPr>
      <w:drawing>
        <wp:inline distT="0" distB="0" distL="0" distR="0" wp14:anchorId="4EBFA846" wp14:editId="29A7590D">
          <wp:extent cx="6836410" cy="783590"/>
          <wp:effectExtent l="0" t="0" r="0" b="0"/>
          <wp:docPr id="2" name="Obrázek1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FD1D" w14:textId="77777777" w:rsidR="00000000" w:rsidRDefault="00DE3E17">
      <w:r>
        <w:separator/>
      </w:r>
    </w:p>
  </w:footnote>
  <w:footnote w:type="continuationSeparator" w:id="0">
    <w:p w14:paraId="6D9B6B3B" w14:textId="77777777" w:rsidR="00000000" w:rsidRDefault="00DE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3166" w14:textId="77777777" w:rsidR="00190D44" w:rsidRDefault="00DE3E17">
    <w:pPr>
      <w:pStyle w:val="Zhlav"/>
    </w:pPr>
    <w:r>
      <w:rPr>
        <w:noProof/>
      </w:rPr>
      <w:drawing>
        <wp:inline distT="0" distB="0" distL="0" distR="0" wp14:anchorId="52BDC477" wp14:editId="5526DB80">
          <wp:extent cx="2850515" cy="695325"/>
          <wp:effectExtent l="0" t="0" r="0" b="0"/>
          <wp:docPr id="1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44"/>
    <w:rsid w:val="00190D44"/>
    <w:rsid w:val="00D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F620"/>
  <w15:docId w15:val="{0DF8D4CF-C510-4FA3-B277-27F19F85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563"/>
    <w:rPr>
      <w:color w:val="0000FF" w:themeColor="hyperlink"/>
      <w:u w:val="single"/>
    </w:rPr>
  </w:style>
  <w:style w:type="character" w:customStyle="1" w:styleId="slodku1">
    <w:name w:val="Číslo řádku1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46563"/>
    <w:rPr>
      <w:color w:val="605E5C"/>
      <w:shd w:val="clear" w:color="auto" w:fill="E1DFDD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37DA5"/>
    <w:rPr>
      <w:b/>
      <w:bCs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37DA5"/>
    <w:rPr>
      <w:rFonts w:ascii="Segoe UI" w:hAnsi="Segoe UI" w:cs="Segoe UI"/>
      <w:sz w:val="18"/>
      <w:szCs w:val="18"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asicParagraph">
    <w:name w:val="[Basic Paragraph]"/>
    <w:uiPriority w:val="99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Revize">
    <w:name w:val="Revision"/>
    <w:uiPriority w:val="99"/>
    <w:semiHidden/>
    <w:qFormat/>
    <w:rsid w:val="00430DC8"/>
    <w:pPr>
      <w:suppressAutoHyphens w:val="0"/>
    </w:pPr>
    <w:rPr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37D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37DA5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1D2E-45E3-446E-B6BE-DD571F7B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3888</Characters>
  <Application>Microsoft Office Word</Application>
  <DocSecurity>4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2</cp:revision>
  <cp:lastPrinted>2023-04-27T13:10:00Z</cp:lastPrinted>
  <dcterms:created xsi:type="dcterms:W3CDTF">2023-04-28T08:56:00Z</dcterms:created>
  <dcterms:modified xsi:type="dcterms:W3CDTF">2023-04-28T08:56:00Z</dcterms:modified>
  <dc:language>cs-CZ</dc:language>
</cp:coreProperties>
</file>