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A"/>
        <w:spacing w:lineRule="auto" w:line="276"/>
        <w:ind w:left="567" w:right="567"/>
        <w:jc w:val="both"/>
        <w:rPr>
          <w:rFonts w:ascii="Rhymes Display" w:hAnsi="Rhymes Display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Rhymes Display" w:hAnsi="Rhymes Display"/>
          <w:b/>
          <w:bCs/>
          <w:sz w:val="28"/>
          <w:szCs w:val="28"/>
        </w:rPr>
        <w:t>TISKOVÁ ZPRÁVA</w:t>
      </w:r>
    </w:p>
    <w:p>
      <w:pPr>
        <w:pStyle w:val="TextA"/>
        <w:spacing w:lineRule="auto" w:line="360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Rhymes Display" w:hAnsi="Rhymes Display"/>
          <w:b/>
          <w:bCs/>
          <w:sz w:val="28"/>
          <w:szCs w:val="28"/>
        </w:rPr>
        <w:t xml:space="preserve">GASK </w:t>
      </w:r>
      <w:r>
        <w:rPr>
          <w:rFonts w:eastAsia="Times New Roman" w:cs="Times New Roman" w:ascii="Rhymes Display" w:hAnsi="Rhymes Display"/>
          <w:b/>
          <w:bCs/>
          <w:sz w:val="28"/>
          <w:szCs w:val="28"/>
        </w:rPr>
        <w:t>zahajuje</w:t>
      </w:r>
      <w:r>
        <w:rPr>
          <w:rFonts w:eastAsia="Times New Roman" w:cs="Times New Roman" w:ascii="Rhymes Display" w:hAnsi="Rhymes Display"/>
          <w:b/>
          <w:bCs/>
          <w:sz w:val="28"/>
          <w:szCs w:val="28"/>
        </w:rPr>
        <w:t xml:space="preserve"> výstavu </w:t>
      </w:r>
      <w:r>
        <w:rPr>
          <w:rFonts w:eastAsia="Times New Roman" w:cs="Times New Roman" w:ascii="Rhymes Display" w:hAnsi="Rhymes Display"/>
          <w:b/>
          <w:bCs/>
          <w:i/>
          <w:iCs/>
          <w:sz w:val="28"/>
          <w:szCs w:val="28"/>
        </w:rPr>
        <w:t>Františ</w:t>
      </w:r>
      <w:r>
        <w:rPr>
          <w:rFonts w:eastAsia="Times New Roman" w:cs="Times New Roman" w:ascii="Rhymes Display" w:hAnsi="Rhymes Display"/>
          <w:b/>
          <w:bCs/>
          <w:i/>
          <w:iCs/>
          <w:sz w:val="28"/>
          <w:szCs w:val="28"/>
        </w:rPr>
        <w:t>e</w:t>
      </w:r>
      <w:r>
        <w:rPr>
          <w:rFonts w:eastAsia="Times New Roman" w:cs="Times New Roman" w:ascii="Rhymes Display" w:hAnsi="Rhymes Display"/>
          <w:b/>
          <w:bCs/>
          <w:i/>
          <w:iCs/>
          <w:sz w:val="28"/>
          <w:szCs w:val="28"/>
        </w:rPr>
        <w:t>k Kupk</w:t>
      </w:r>
      <w:r>
        <w:rPr>
          <w:rFonts w:eastAsia="Times New Roman" w:cs="Times New Roman" w:ascii="Rhymes Display" w:hAnsi="Rhymes Display"/>
          <w:b/>
          <w:bCs/>
          <w:i/>
          <w:iCs/>
          <w:sz w:val="28"/>
          <w:szCs w:val="28"/>
        </w:rPr>
        <w:t xml:space="preserve">a – </w:t>
      </w:r>
      <w:r>
        <w:rPr>
          <w:rFonts w:eastAsia="Times New Roman" w:cs="Times New Roman" w:ascii="Rhymes Display" w:hAnsi="Rhymes Display"/>
          <w:b/>
          <w:bCs/>
          <w:i/>
          <w:iCs/>
          <w:sz w:val="28"/>
          <w:szCs w:val="28"/>
        </w:rPr>
        <w:t xml:space="preserve">Knihomol </w:t>
      </w:r>
    </w:p>
    <w:p>
      <w:pPr>
        <w:pStyle w:val="TextA"/>
        <w:spacing w:lineRule="auto" w:line="360" w:before="0" w:after="0"/>
        <w:ind w:left="567" w:right="567"/>
        <w:jc w:val="both"/>
        <w:rPr>
          <w:rFonts w:ascii="Rhymes Display" w:hAnsi="Rhymes Display" w:eastAsia="Times New Roman" w:cs="Times New Roman"/>
          <w:i/>
          <w:i/>
          <w:iCs/>
          <w:color w:val="FF0000"/>
          <w:sz w:val="22"/>
          <w:szCs w:val="22"/>
        </w:rPr>
      </w:pPr>
      <w:r>
        <w:rPr>
          <w:rFonts w:eastAsia="Times New Roman" w:cs="Times New Roman" w:ascii="Rhymes Display" w:hAnsi="Rhymes Display"/>
          <w:i/>
          <w:iCs/>
          <w:color w:val="FF0000"/>
          <w:sz w:val="22"/>
          <w:szCs w:val="22"/>
        </w:rPr>
      </w:r>
    </w:p>
    <w:p>
      <w:pPr>
        <w:pStyle w:val="TextA"/>
        <w:spacing w:lineRule="auto" w:line="276" w:before="0" w:after="0"/>
        <w:ind w:left="567" w:right="567"/>
        <w:jc w:val="both"/>
        <w:rPr>
          <w:rFonts w:ascii="Rhymes Display" w:hAnsi="Rhymes Display" w:eastAsia="Times New Roman" w:cs="Times New Roman"/>
          <w:i/>
          <w:i/>
          <w:iCs/>
          <w:sz w:val="22"/>
          <w:szCs w:val="22"/>
        </w:rPr>
      </w:pP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 xml:space="preserve">Galerie Středočeského kraje v Kutné Hoře </w:t>
      </w: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>zahajuje</w:t>
      </w: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 xml:space="preserve"> 7. října výstavu českého malíře, grafika a ilustrátora Františka Kupky </w:t>
      </w: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>(1871–1957)</w:t>
      </w: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 xml:space="preserve">, jednoho z průkopníků moderního abstraktního malířství, který se svým dílem nezpochybnitelně </w:t>
      </w:r>
      <w:r>
        <w:rPr>
          <w:rFonts w:eastAsia="Times New Roman" w:cs="Times New Roman" w:ascii="Rhymes Display" w:hAnsi="Rhymes Display"/>
          <w:i/>
          <w:iCs/>
          <w:color w:val="auto"/>
          <w:sz w:val="22"/>
          <w:szCs w:val="22"/>
        </w:rPr>
        <w:t xml:space="preserve">zapsal do dějin světového výtvarného umění. Název výstavy odkazuje ke Kupkově stejnojmenné malbě – kryptoautoportrétu „Knihomol“ z roku 1897. Expozice v GASK představí jedinečný soubor bibliofilií, které GASK získal do svých sbírek v šedesátých letech minulého století a které byly souborně veřejnosti v Čechách představeny pouze jednou. Výstavu doplní komorní soubor Kupkových olejomaleb z prvního desetiletí 20. století a umělcovo grafické album </w:t>
      </w:r>
      <w:r>
        <w:rPr>
          <w:rFonts w:eastAsia="Times New Roman" w:cs="Times New Roman" w:ascii="Rhymes Display" w:hAnsi="Rhymes Display"/>
          <w:color w:val="auto"/>
          <w:sz w:val="22"/>
          <w:szCs w:val="22"/>
        </w:rPr>
        <w:t>Čtyři příběhy černé a bílé</w:t>
      </w:r>
      <w:r>
        <w:rPr>
          <w:rFonts w:eastAsia="Times New Roman" w:cs="Times New Roman" w:ascii="Rhymes Display" w:hAnsi="Rhymes Display"/>
          <w:i/>
          <w:iCs/>
          <w:color w:val="auto"/>
          <w:sz w:val="22"/>
          <w:szCs w:val="22"/>
        </w:rPr>
        <w:t xml:space="preserve">, ohlížející se za prvními patnácti lety objevování abstrakce. Tento galerijní počin </w:t>
      </w:r>
      <w:r>
        <w:rPr>
          <w:rFonts w:eastAsia="Times New Roman" w:cs="Times New Roman" w:ascii="Rhymes Display" w:hAnsi="Rhymes Display"/>
          <w:i/>
          <w:iCs/>
          <w:color w:val="auto"/>
          <w:sz w:val="22"/>
          <w:szCs w:val="22"/>
        </w:rPr>
        <w:t>bude k vidění</w:t>
      </w:r>
      <w:r>
        <w:rPr>
          <w:rFonts w:eastAsia="Times New Roman" w:cs="Times New Roman" w:ascii="Rhymes Display" w:hAnsi="Rhymes Display"/>
          <w:i/>
          <w:iCs/>
          <w:color w:val="auto"/>
          <w:sz w:val="22"/>
          <w:szCs w:val="22"/>
        </w:rPr>
        <w:t xml:space="preserve"> v prostoru Přesahy grafiky a Blackbox od 8. října 2023 do 14. ledna 2024 a jeho kurátorkou je Mgr. Vanda Skálová.</w:t>
      </w: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 xml:space="preserve"> </w:t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/>
          <w:sz w:val="22"/>
          <w:szCs w:val="22"/>
        </w:rPr>
      </w:pPr>
      <w:r>
        <w:rPr>
          <w:rFonts w:ascii="Rhymes Display" w:hAnsi="Rhymes Display"/>
          <w:sz w:val="22"/>
          <w:szCs w:val="22"/>
        </w:rPr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  <w:r>
        <w:rPr>
          <w:rFonts w:ascii="Rhymes Display" w:hAnsi="Rhymes Display"/>
          <w:color w:val="auto"/>
          <w:sz w:val="22"/>
          <w:szCs w:val="22"/>
        </w:rPr>
        <w:t xml:space="preserve">Zájem o krásné knihy, řemeslně dokonalá díla, luxusně svázaná a perfektně vytištěná na nejkvalitnějších materiálech, má v evropské kultuře dlouhou tradici. S ohledem na rafinovanost a náročnost ruční práce, drahé materiály a nízký náklad však byly takové knižní „šperky“ určeny výhradně úzkému </w:t>
      </w:r>
      <w:r>
        <w:rPr>
          <w:rFonts w:ascii="Rhymes Display" w:hAnsi="Rhymes Display"/>
          <w:color w:val="auto"/>
          <w:sz w:val="22"/>
          <w:szCs w:val="22"/>
        </w:rPr>
        <w:t>o</w:t>
      </w:r>
      <w:r>
        <w:rPr>
          <w:rFonts w:ascii="Rhymes Display" w:hAnsi="Rhymes Display"/>
          <w:color w:val="auto"/>
          <w:sz w:val="22"/>
          <w:szCs w:val="22"/>
        </w:rPr>
        <w:t>kruhu zájemců z bohatých vrstev společnosti. František Kupka, který většinu svého uměleckého života strávil v Paříž</w:t>
      </w:r>
      <w:r>
        <w:rPr>
          <w:rFonts w:ascii="Rhymes Display" w:hAnsi="Rhymes Display"/>
          <w:color w:val="auto"/>
          <w:sz w:val="22"/>
          <w:szCs w:val="22"/>
        </w:rPr>
        <w:t>i</w:t>
      </w:r>
      <w:r>
        <w:rPr>
          <w:rFonts w:ascii="Rhymes Display" w:hAnsi="Rhymes Display"/>
          <w:color w:val="auto"/>
          <w:sz w:val="22"/>
          <w:szCs w:val="22"/>
        </w:rPr>
        <w:t xml:space="preserve">, se v roce 1904 začal věnovat knižním ilustracím a práce na nich ho provázela i v následujících letech před první světovou válkou. Knižní zakázky pro špičkové pařížské nakladatele jsou </w:t>
      </w:r>
      <w:r>
        <w:rPr>
          <w:rFonts w:ascii="Rhymes Display" w:hAnsi="Rhymes Display"/>
          <w:color w:val="auto"/>
          <w:sz w:val="22"/>
          <w:szCs w:val="22"/>
        </w:rPr>
        <w:t xml:space="preserve">u Kupky </w:t>
      </w:r>
      <w:r>
        <w:rPr>
          <w:rFonts w:ascii="Rhymes Display" w:hAnsi="Rhymes Display"/>
          <w:color w:val="auto"/>
          <w:sz w:val="22"/>
          <w:szCs w:val="22"/>
        </w:rPr>
        <w:t xml:space="preserve">obvykle spojovány především s nutností zajistit si prostředky na živobytí, jak to sám umělec v korespondenci i rozhovorech opakovaně uváděl. Za jeho etapou ilustrátora bibliofilií je však třeba vidět víc, a </w:t>
      </w:r>
      <w:r>
        <w:rPr>
          <w:rFonts w:ascii="Rhymes Display" w:hAnsi="Rhymes Display"/>
          <w:color w:val="auto"/>
          <w:sz w:val="22"/>
          <w:szCs w:val="22"/>
        </w:rPr>
        <w:t>sice</w:t>
      </w:r>
      <w:r>
        <w:rPr>
          <w:rFonts w:ascii="Rhymes Display" w:hAnsi="Rhymes Display"/>
          <w:color w:val="auto"/>
          <w:sz w:val="22"/>
          <w:szCs w:val="22"/>
        </w:rPr>
        <w:t xml:space="preserve"> osobní vášeň pro knihy a studium i profesní zájem o uměleckou stránku práce. V průběhu prací na bibliofilských projektech </w:t>
      </w:r>
      <w:r>
        <w:rPr>
          <w:rFonts w:ascii="Rhymes Display" w:hAnsi="Rhymes Display"/>
          <w:color w:val="auto"/>
          <w:sz w:val="22"/>
          <w:szCs w:val="22"/>
        </w:rPr>
        <w:t>ovšem</w:t>
      </w:r>
      <w:r>
        <w:rPr>
          <w:rFonts w:ascii="Rhymes Display" w:hAnsi="Rhymes Display"/>
          <w:color w:val="auto"/>
          <w:sz w:val="22"/>
          <w:szCs w:val="22"/>
        </w:rPr>
        <w:t xml:space="preserve"> v korespondenci několikrát zmiňuje, že ho ilustrace odvádějí od toho, na čem mu záleželo nejvíc – od malby. Té dal také nakonec přednost a ke knižním projektům se už nevrátil. </w:t>
      </w:r>
    </w:p>
    <w:p>
      <w:pPr>
        <w:pStyle w:val="TextA"/>
        <w:ind w:left="567" w:right="567"/>
        <w:jc w:val="both"/>
        <w:rPr>
          <w:rFonts w:ascii="Rhymes Display" w:hAnsi="Rhymes Display"/>
          <w:sz w:val="22"/>
          <w:szCs w:val="22"/>
        </w:rPr>
      </w:pPr>
      <w:r>
        <w:rPr>
          <w:rFonts w:ascii="Rhymes Display" w:hAnsi="Rhymes Display"/>
          <w:sz w:val="22"/>
          <w:szCs w:val="22"/>
        </w:rPr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  <w:r>
        <w:rPr>
          <w:rFonts w:ascii="Rhymes Display" w:hAnsi="Rhymes Display"/>
          <w:sz w:val="22"/>
          <w:szCs w:val="22"/>
        </w:rPr>
        <w:t xml:space="preserve">Název výstavy v GASK </w:t>
      </w:r>
      <w:r>
        <w:rPr>
          <w:rFonts w:ascii="Rhymes Display" w:hAnsi="Rhymes Display"/>
          <w:i/>
          <w:iCs/>
          <w:sz w:val="22"/>
          <w:szCs w:val="22"/>
        </w:rPr>
        <w:t>Knihomol</w:t>
      </w:r>
      <w:r>
        <w:rPr>
          <w:rFonts w:ascii="Rhymes Display" w:hAnsi="Rhymes Display"/>
          <w:sz w:val="22"/>
          <w:szCs w:val="22"/>
        </w:rPr>
        <w:t xml:space="preserve"> lze v symbolické rovině ztotožnit s obrazem Kupkova osobního i tvůrčího života v prvních dvou desetiletích 20. století. Odkazuje nejen přímo ke Kupkově stejnojmenné malbě z roku 1897, ale i k jeho dlouhodobému a systematickému zájmu o humanitní a přírodní vědy, který stál v pozadí jeho progresivních </w:t>
      </w:r>
      <w:r>
        <w:rPr>
          <w:rFonts w:ascii="Rhymes Display" w:hAnsi="Rhymes Display"/>
          <w:color w:val="auto"/>
          <w:sz w:val="22"/>
          <w:szCs w:val="22"/>
        </w:rPr>
        <w:t>názorů na malbu a výrazně ovlivnil také tvůrčí proces a výsledky jeho ilustrátorsk</w:t>
      </w:r>
      <w:r>
        <w:rPr>
          <w:rFonts w:ascii="Rhymes Display" w:hAnsi="Rhymes Display"/>
          <w:color w:val="auto"/>
          <w:sz w:val="22"/>
          <w:szCs w:val="22"/>
        </w:rPr>
        <w:t>é</w:t>
      </w:r>
      <w:r>
        <w:rPr>
          <w:rFonts w:ascii="Rhymes Display" w:hAnsi="Rhymes Display"/>
          <w:color w:val="auto"/>
          <w:sz w:val="22"/>
          <w:szCs w:val="22"/>
        </w:rPr>
        <w:t xml:space="preserve"> práce. 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„Poněvadž text dostávám, až již kresby jsou hotové, musím se tak vzdělávat předem, než dostanu manuskript, a stalo se to i mně vášní do těch dob utíkat,“</w:t>
      </w:r>
      <w:r>
        <w:rPr>
          <w:rFonts w:ascii="Rhymes Display" w:hAnsi="Rhymes Display"/>
          <w:color w:val="auto"/>
          <w:sz w:val="22"/>
          <w:szCs w:val="22"/>
        </w:rPr>
        <w:t xml:space="preserve"> píše například na podzim 1905 J. S. Macharovi k náročnosti přípravy ilustrací pro šestisvazkové kompendium francouzského </w:t>
      </w:r>
      <w:r>
        <w:rPr>
          <w:rFonts w:ascii="Rhymes Display" w:hAnsi="Rhymes Display"/>
          <w:color w:val="auto"/>
          <w:sz w:val="22"/>
          <w:szCs w:val="22"/>
        </w:rPr>
        <w:t>geografa</w:t>
      </w:r>
      <w:r>
        <w:rPr>
          <w:rFonts w:ascii="Rhymes Display" w:hAnsi="Rhymes Display"/>
          <w:color w:val="auto"/>
          <w:sz w:val="22"/>
          <w:szCs w:val="22"/>
        </w:rPr>
        <w:t xml:space="preserve"> El</w:t>
      </w:r>
      <w:r>
        <w:rPr>
          <w:rFonts w:ascii="Rhymes Display" w:hAnsi="Rhymes Display"/>
          <w:color w:val="auto"/>
          <w:sz w:val="22"/>
          <w:szCs w:val="22"/>
        </w:rPr>
        <w:t>i</w:t>
      </w:r>
      <w:r>
        <w:rPr>
          <w:rFonts w:ascii="Rhymes Display" w:hAnsi="Rhymes Display"/>
          <w:color w:val="auto"/>
          <w:sz w:val="22"/>
          <w:szCs w:val="22"/>
        </w:rPr>
        <w:t>sée Recluse</w:t>
      </w:r>
      <w:r>
        <w:rPr>
          <w:rFonts w:eastAsia="Times New Roman" w:cs="Helvetica Neue" w:ascii="Rhymes Display" w:hAnsi="Rhymes Display" w:cstheme="minorHAnsi"/>
          <w:i/>
          <w:iCs/>
          <w:color w:val="auto"/>
          <w:sz w:val="22"/>
          <w:szCs w:val="22"/>
        </w:rPr>
        <w:t xml:space="preserve"> L</w:t>
      </w:r>
      <w:r>
        <w:rPr>
          <w:rFonts w:eastAsia="Times New Roman" w:cs="Helvetica Neue" w:ascii="Rhymes Display" w:hAnsi="Rhymes Display" w:cstheme="minorHAnsi"/>
          <w:i/>
          <w:iCs/>
          <w:color w:val="auto"/>
          <w:sz w:val="22"/>
          <w:szCs w:val="22"/>
        </w:rPr>
        <w:t>’</w:t>
      </w:r>
      <w:r>
        <w:rPr>
          <w:rFonts w:eastAsia="Times New Roman" w:cs="Helvetica Neue" w:ascii="Rhymes Display" w:hAnsi="Rhymes Display" w:cstheme="minorHAnsi"/>
          <w:i/>
          <w:iCs/>
          <w:color w:val="auto"/>
          <w:sz w:val="22"/>
          <w:szCs w:val="22"/>
        </w:rPr>
        <w:t xml:space="preserve">Homme et </w:t>
      </w:r>
      <w:r>
        <w:rPr>
          <w:rFonts w:eastAsia="Times New Roman" w:cs="Helvetica Neue" w:ascii="Rhymes Display" w:hAnsi="Rhymes Display" w:cstheme="minorHAnsi"/>
          <w:i/>
          <w:iCs/>
          <w:color w:val="auto"/>
          <w:sz w:val="22"/>
          <w:szCs w:val="22"/>
        </w:rPr>
        <w:t>l</w:t>
      </w:r>
      <w:r>
        <w:rPr>
          <w:rFonts w:eastAsia="Times New Roman" w:cs="Helvetica Neue" w:ascii="Rhymes Display" w:hAnsi="Rhymes Display" w:cstheme="minorHAnsi"/>
          <w:i/>
          <w:iCs/>
          <w:color w:val="auto"/>
          <w:sz w:val="22"/>
          <w:szCs w:val="22"/>
        </w:rPr>
        <w:t>a Terre</w:t>
      </w:r>
      <w:r>
        <w:rPr>
          <w:rFonts w:eastAsia="Times New Roman" w:cs="Helvetica Neue" w:ascii="Rhymes Display" w:hAnsi="Rhymes Display" w:cstheme="minorHAnsi"/>
          <w:color w:val="auto"/>
          <w:sz w:val="22"/>
          <w:szCs w:val="22"/>
        </w:rPr>
        <w:t xml:space="preserve"> (Člověk a země)</w:t>
      </w:r>
      <w:r>
        <w:rPr>
          <w:rFonts w:ascii="Rhymes Display" w:hAnsi="Rhymes Display"/>
          <w:color w:val="auto"/>
          <w:sz w:val="22"/>
          <w:szCs w:val="22"/>
        </w:rPr>
        <w:t xml:space="preserve">. </w:t>
      </w:r>
    </w:p>
    <w:p>
      <w:pPr>
        <w:pStyle w:val="TextA"/>
        <w:ind w:left="567" w:right="567"/>
        <w:jc w:val="both"/>
        <w:rPr>
          <w:rFonts w:ascii="Rhymes Display" w:hAnsi="Rhymes Display"/>
          <w:sz w:val="22"/>
          <w:szCs w:val="22"/>
        </w:rPr>
      </w:pPr>
      <w:r>
        <w:rPr>
          <w:rFonts w:ascii="Rhymes Display" w:hAnsi="Rhymes Display"/>
          <w:sz w:val="22"/>
          <w:szCs w:val="22"/>
        </w:rPr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>V rámci velkých retrospektiv Františka Kupky bývá obvykle jeho ilustr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>átorské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 xml:space="preserve"> práci věnov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>ána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 xml:space="preserve"> spíš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>e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 xml:space="preserve"> okrajová pozornost 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 xml:space="preserve">a </w:t>
      </w:r>
      <w:r>
        <w:rPr>
          <w:rFonts w:ascii="Rhymes Display" w:hAnsi="Rhymes Display"/>
          <w:i w:val="false"/>
          <w:iCs w:val="false"/>
          <w:color w:val="auto"/>
          <w:sz w:val="22"/>
          <w:szCs w:val="22"/>
        </w:rPr>
        <w:t xml:space="preserve">s ohledem na převratnost jeho malířského díla je to pochopitelné. Právě soubor umělcových bibliofilských prací je však jádrem výstavy v Galerii Středočeského kraje a jako celek tak poskytuje nebývale komplexní pohled na Kupkovu činnost v oboru knižní ilustrace. </w:t>
      </w:r>
      <w:r>
        <w:rPr>
          <w:rFonts w:ascii="Rhymes Display" w:hAnsi="Rhymes Display"/>
          <w:color w:val="auto"/>
          <w:sz w:val="22"/>
          <w:szCs w:val="22"/>
        </w:rPr>
        <w:t xml:space="preserve">Vedle samotných výtisků bibliofilií, </w:t>
      </w:r>
      <w:r>
        <w:rPr>
          <w:rFonts w:ascii="Rhymes Display" w:hAnsi="Rhymes Display"/>
          <w:color w:val="auto"/>
          <w:sz w:val="22"/>
          <w:szCs w:val="22"/>
        </w:rPr>
        <w:t>jimiž</w:t>
      </w:r>
      <w:r>
        <w:rPr>
          <w:rFonts w:ascii="Rhymes Display" w:hAnsi="Rhymes Display"/>
          <w:color w:val="auto"/>
          <w:sz w:val="22"/>
          <w:szCs w:val="22"/>
        </w:rPr>
        <w:t xml:space="preserve"> jsou tři soubory 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Er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í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nyí</w:t>
      </w:r>
      <w:r>
        <w:rPr>
          <w:rFonts w:ascii="Rhymes Display" w:hAnsi="Rhymes Display"/>
          <w:color w:val="auto"/>
          <w:sz w:val="22"/>
          <w:szCs w:val="22"/>
        </w:rPr>
        <w:t xml:space="preserve"> Leconta de Lisle (vyd. 1908), Aristofanova </w:t>
      </w:r>
      <w:r>
        <w:rPr>
          <w:rFonts w:ascii="Rhymes Display" w:hAnsi="Rhymes Display"/>
          <w:i/>
          <w:iCs/>
          <w:color w:val="auto"/>
          <w:sz w:val="22"/>
          <w:szCs w:val="22"/>
        </w:rPr>
        <w:t xml:space="preserve">Lysistrata </w:t>
      </w:r>
      <w:r>
        <w:rPr>
          <w:rFonts w:ascii="Rhymes Display" w:hAnsi="Rhymes Display"/>
          <w:color w:val="auto"/>
          <w:sz w:val="22"/>
          <w:szCs w:val="22"/>
        </w:rPr>
        <w:t xml:space="preserve">(vyd. 1911) a dvě ilustrovaná vydání starozákonní 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Písně písní</w:t>
      </w:r>
      <w:r>
        <w:rPr>
          <w:rFonts w:cs="Calibri Light" w:ascii="Rhymes Display" w:hAnsi="Rhymes Display"/>
          <w:bCs/>
          <w:color w:val="auto"/>
          <w:sz w:val="22"/>
          <w:szCs w:val="22"/>
        </w:rPr>
        <w:t xml:space="preserve"> (první vyd. v roce 1905 i pozdější z roku 1931)</w:t>
      </w:r>
      <w:r>
        <w:rPr>
          <w:rFonts w:ascii="Rhymes Display" w:hAnsi="Rhymes Display"/>
          <w:color w:val="auto"/>
          <w:sz w:val="22"/>
          <w:szCs w:val="22"/>
        </w:rPr>
        <w:t xml:space="preserve">, najdeme v souboru originální signované Kupkovy studie a návrhy (kresby, kvaše a akvarely) i několik listů malířovy korespondence. V expozici bude vystaven i výtisk Kupkova grafického alba 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Čtyři příběhy bílé a černé</w:t>
      </w:r>
      <w:r>
        <w:rPr>
          <w:rFonts w:ascii="Rhymes Display" w:hAnsi="Rhymes Display"/>
          <w:color w:val="auto"/>
          <w:sz w:val="22"/>
          <w:szCs w:val="22"/>
        </w:rPr>
        <w:t>, ohlížející</w:t>
      </w:r>
      <w:r>
        <w:rPr>
          <w:rFonts w:ascii="Rhymes Display" w:hAnsi="Rhymes Display"/>
          <w:color w:val="auto"/>
          <w:sz w:val="22"/>
          <w:szCs w:val="22"/>
        </w:rPr>
        <w:t>ho</w:t>
      </w:r>
      <w:r>
        <w:rPr>
          <w:rFonts w:ascii="Rhymes Display" w:hAnsi="Rhymes Display"/>
          <w:color w:val="auto"/>
          <w:sz w:val="22"/>
          <w:szCs w:val="22"/>
        </w:rPr>
        <w:t xml:space="preserve"> se za prvními patnácti lety objevování abstrakce. Expozice vedle souboru bibliofilií ze sbírek GASK představ</w:t>
      </w:r>
      <w:r>
        <w:rPr>
          <w:rFonts w:ascii="Rhymes Display" w:hAnsi="Rhymes Display"/>
          <w:color w:val="auto"/>
          <w:sz w:val="22"/>
          <w:szCs w:val="22"/>
        </w:rPr>
        <w:t>í</w:t>
      </w:r>
      <w:r>
        <w:rPr>
          <w:rFonts w:ascii="Rhymes Display" w:hAnsi="Rhymes Display"/>
          <w:color w:val="auto"/>
          <w:sz w:val="22"/>
          <w:szCs w:val="22"/>
        </w:rPr>
        <w:t xml:space="preserve"> i komorní výběr děl, která vznikala v Paříži paralelně s pracemi na ilustracích a nezřídka i v přímé souvislosti s nimi, zejména v prvním desetiletí 20. století. </w:t>
      </w:r>
    </w:p>
    <w:p>
      <w:pPr>
        <w:pStyle w:val="TextA"/>
        <w:ind w:left="567" w:right="567"/>
        <w:jc w:val="both"/>
        <w:rPr>
          <w:rFonts w:ascii="Rhymes Display" w:hAnsi="Rhymes Display"/>
          <w:sz w:val="22"/>
          <w:szCs w:val="22"/>
        </w:rPr>
      </w:pPr>
      <w:r>
        <w:rPr>
          <w:rFonts w:ascii="Rhymes Display" w:hAnsi="Rhymes Display"/>
          <w:sz w:val="22"/>
          <w:szCs w:val="22"/>
        </w:rPr>
      </w:r>
    </w:p>
    <w:p>
      <w:pPr>
        <w:pStyle w:val="TextA"/>
        <w:spacing w:lineRule="auto" w:line="276" w:before="0" w:after="0"/>
        <w:ind w:left="567" w:right="567"/>
        <w:jc w:val="both"/>
        <w:rPr>
          <w:rFonts w:ascii="Rhymes Display" w:hAnsi="Rhymes Display" w:eastAsia="Times New Roman" w:cs="Times New Roman"/>
          <w:sz w:val="22"/>
          <w:szCs w:val="22"/>
        </w:rPr>
      </w:pPr>
      <w:r>
        <w:rPr>
          <w:rFonts w:eastAsia="Times New Roman" w:cs="Times New Roman" w:ascii="Rhymes Display" w:hAnsi="Rhymes Display"/>
          <w:sz w:val="22"/>
          <w:szCs w:val="22"/>
        </w:rPr>
        <w:t xml:space="preserve">Výstavu </w:t>
      </w: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>František Kupka – Knihomol</w:t>
      </w:r>
      <w:r>
        <w:rPr>
          <w:rFonts w:eastAsia="Times New Roman" w:cs="Times New Roman" w:ascii="Rhymes Display" w:hAnsi="Rhymes Display"/>
          <w:sz w:val="22"/>
          <w:szCs w:val="22"/>
        </w:rPr>
        <w:t xml:space="preserve"> doprovodí série komentovaných prohlídek a přednášek. Lektorské centrum GASK připravuje k tématu edukační programy pro školy a výtvarné dílny pro rodiny s dětmi. Zároveň bude v expozici instalováno interaktivní zastavení, které návštěvníkům zprostředk</w:t>
      </w:r>
      <w:r>
        <w:rPr>
          <w:rFonts w:eastAsia="Times New Roman" w:cs="Times New Roman" w:ascii="Rhymes Display" w:hAnsi="Rhymes Display"/>
          <w:sz w:val="22"/>
          <w:szCs w:val="22"/>
        </w:rPr>
        <w:t>uje</w:t>
      </w:r>
      <w:r>
        <w:rPr>
          <w:rFonts w:eastAsia="Times New Roman" w:cs="Times New Roman" w:ascii="Rhymes Display" w:hAnsi="Rhymes Display"/>
          <w:sz w:val="22"/>
          <w:szCs w:val="22"/>
        </w:rPr>
        <w:t xml:space="preserve"> umělcovu tvorbu. K výstavě vyjde katalog, který bude mapovat širší souvislosti tohoto projektu. </w:t>
      </w:r>
    </w:p>
    <w:p>
      <w:pPr>
        <w:pStyle w:val="TextA"/>
        <w:spacing w:lineRule="auto" w:line="360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>Výstava: František Kupka – Knihomol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Kurátorka: Mgr. Vanda Skálová 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Trvání: 8. 10. 2023 – 14. 1. 2024 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Vernisáž: 7. 10. 2023 v 16.00 hodin 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Místo konání: Přesahy grafiky a Blackbox, Galerie Středočeského kraje 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>Zapůjčitelé:</w:t>
      </w:r>
      <w:r>
        <w:rPr>
          <w:rFonts w:ascii="Rhymes Display" w:hAnsi="Rhymes Display"/>
          <w:sz w:val="22"/>
          <w:szCs w:val="22"/>
        </w:rPr>
        <w:t xml:space="preserve"> </w:t>
      </w:r>
      <w:r>
        <w:rPr>
          <w:rFonts w:ascii="Rhymes Display" w:hAnsi="Rhymes Display"/>
          <w:b/>
          <w:bCs/>
          <w:sz w:val="22"/>
          <w:szCs w:val="22"/>
        </w:rPr>
        <w:t>Národní galerie v Praze, soukromá sbírka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Produkce: Adéla Šimonová, Věra Pinnoy 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>Architektka výstavy: Radka Kurčíková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>Autor výstavního fundusu: Josef Pleskot</w:t>
      </w:r>
    </w:p>
    <w:p>
      <w:pPr>
        <w:pStyle w:val="TextA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Grafika: Pavel Tichoň </w:t>
      </w:r>
    </w:p>
    <w:p>
      <w:pPr>
        <w:pStyle w:val="TextA"/>
        <w:spacing w:lineRule="auto" w:line="276" w:before="0" w:after="0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</w:r>
    </w:p>
    <w:p>
      <w:pPr>
        <w:pStyle w:val="TextA"/>
        <w:spacing w:lineRule="auto" w:line="276" w:before="0" w:after="0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Kontakt pro média: </w:t>
      </w:r>
    </w:p>
    <w:p>
      <w:pPr>
        <w:pStyle w:val="TextA"/>
        <w:spacing w:lineRule="auto" w:line="276" w:before="0" w:after="0"/>
        <w:ind w:left="567" w:right="567"/>
        <w:jc w:val="both"/>
        <w:rPr>
          <w:rFonts w:ascii="Rhymes Display" w:hAnsi="Rhymes Display"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 w:ascii="Rhymes Display" w:hAnsi="Rhymes Display"/>
          <w:b/>
          <w:bCs/>
          <w:sz w:val="22"/>
          <w:szCs w:val="22"/>
        </w:rPr>
        <w:t xml:space="preserve">Ing. Alena Sedláčková </w:t>
      </w:r>
    </w:p>
    <w:p>
      <w:pPr>
        <w:pStyle w:val="TextA"/>
        <w:spacing w:lineRule="auto" w:line="276" w:before="0" w:after="0"/>
        <w:ind w:left="567" w:right="567"/>
        <w:jc w:val="both"/>
        <w:rPr>
          <w:rFonts w:ascii="Rhymes Display" w:hAnsi="Rhymes Display" w:eastAsia="Times New Roman" w:cs="Times New Roman"/>
          <w:sz w:val="22"/>
          <w:szCs w:val="22"/>
        </w:rPr>
      </w:pPr>
      <w:r>
        <w:rPr>
          <w:rFonts w:eastAsia="Times New Roman" w:cs="Times New Roman" w:ascii="Rhymes Display" w:hAnsi="Rhymes Display"/>
          <w:sz w:val="22"/>
          <w:szCs w:val="22"/>
        </w:rPr>
        <w:t xml:space="preserve">+420 602 454 457 </w:t>
      </w:r>
    </w:p>
    <w:p>
      <w:pPr>
        <w:pStyle w:val="TextA"/>
        <w:spacing w:lineRule="auto" w:line="276" w:before="0" w:after="0"/>
        <w:ind w:left="567" w:right="567"/>
        <w:jc w:val="both"/>
        <w:rPr>
          <w:rFonts w:ascii="Rhymes Display" w:hAnsi="Rhymes Display" w:eastAsia="Times New Roman" w:cs="Times New Roman"/>
          <w:sz w:val="22"/>
          <w:szCs w:val="22"/>
        </w:rPr>
      </w:pPr>
      <w:r>
        <w:rPr>
          <w:rFonts w:eastAsia="Times New Roman" w:cs="Times New Roman" w:ascii="Rhymes Display" w:hAnsi="Rhymes Display"/>
          <w:sz w:val="22"/>
          <w:szCs w:val="22"/>
        </w:rPr>
        <w:t xml:space="preserve">sedlackova@gask.cz </w:t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 w:eastAsia="Times New Roman" w:cs="Times New Roman"/>
          <w:sz w:val="22"/>
          <w:szCs w:val="22"/>
        </w:rPr>
      </w:pPr>
      <w:r>
        <w:rPr>
          <w:rFonts w:eastAsia="Times New Roman" w:cs="Times New Roman" w:ascii="Rhymes Display" w:hAnsi="Rhymes Display"/>
          <w:sz w:val="22"/>
          <w:szCs w:val="22"/>
        </w:rPr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 w:eastAsia="Times New Roman" w:cs="Times New Roman"/>
          <w:i/>
          <w:i/>
          <w:iCs/>
          <w:sz w:val="22"/>
          <w:szCs w:val="22"/>
        </w:rPr>
      </w:pP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>Záštitu nad výstavním projektem převzal radní Středočeského kraje pro oblast kultury, památkové péče a cestovního ruchu Mgr. Václav Švenda.</w:t>
      </w:r>
      <w:r>
        <w:rPr/>
        <w:t xml:space="preserve"> </w:t>
      </w:r>
      <w:r>
        <w:rPr>
          <w:rFonts w:eastAsia="Times New Roman" w:cs="Times New Roman" w:ascii="Rhymes Display" w:hAnsi="Rhymes Display"/>
          <w:i/>
          <w:iCs/>
          <w:sz w:val="22"/>
          <w:szCs w:val="22"/>
        </w:rPr>
        <w:t xml:space="preserve">Projekt se uskutečňuje za finanční podpory Středočeského kraje, Státního fondu kultury a města Kutná Hora. </w:t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 w:eastAsia="Times New Roman" w:cs="Times New Roman"/>
          <w:i/>
          <w:i/>
          <w:iCs/>
          <w:sz w:val="22"/>
          <w:szCs w:val="22"/>
        </w:rPr>
      </w:pPr>
      <w:r>
        <w:rPr>
          <w:rFonts w:eastAsia="Times New Roman" w:cs="Times New Roman" w:ascii="Rhymes Display" w:hAnsi="Rhymes Display"/>
          <w:i/>
          <w:iCs/>
          <w:sz w:val="22"/>
          <w:szCs w:val="22"/>
        </w:rPr>
      </w:r>
    </w:p>
    <w:p>
      <w:pPr>
        <w:pStyle w:val="TextA"/>
        <w:spacing w:lineRule="auto" w:line="276"/>
        <w:ind w:left="567" w:right="567"/>
        <w:jc w:val="both"/>
        <w:rPr>
          <w:rFonts w:ascii="Rhymes Display" w:hAnsi="Rhymes Display" w:eastAsia="Times New Roman" w:cs="Times New Roman"/>
          <w:sz w:val="22"/>
          <w:szCs w:val="22"/>
        </w:rPr>
      </w:pPr>
      <w:r>
        <w:rPr>
          <w:rFonts w:eastAsia="Times New Roman" w:cs="Times New Roman" w:ascii="Rhymes Display" w:hAnsi="Rhymes Display"/>
          <w:sz w:val="22"/>
          <w:szCs w:val="22"/>
        </w:rPr>
        <w:t xml:space="preserve">GASK – Galerie Středočeského kraje sídlí v jezuitské koleji v Kutné Hoře. Je institucí zaměřenou svou sbírkou i výstavním programem na výtvarné umění 20. a 21. století. </w:t>
      </w:r>
    </w:p>
    <w:p>
      <w:pPr>
        <w:pStyle w:val="TextA"/>
        <w:spacing w:lineRule="auto" w:line="276" w:before="0" w:after="80"/>
        <w:ind w:left="567" w:right="567"/>
        <w:jc w:val="both"/>
        <w:rPr>
          <w:rFonts w:ascii="Rhymes Display" w:hAnsi="Rhymes Display" w:eastAsia="Times New Roman" w:cs="Times New Roman"/>
          <w:sz w:val="22"/>
          <w:szCs w:val="22"/>
        </w:rPr>
      </w:pPr>
      <w:r>
        <w:rPr>
          <w:rFonts w:eastAsia="Times New Roman" w:cs="Times New Roman" w:ascii="Rhymes Display" w:hAnsi="Rhymes Display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567" w:right="567" w:gutter="0" w:header="567" w:top="624" w:footer="567" w:bottom="62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Minion Pro">
    <w:charset w:val="ee"/>
    <w:family w:val="roman"/>
    <w:pitch w:val="variable"/>
  </w:font>
  <w:font w:name="Rhymes Display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spacing w:before="0" w:after="80"/>
      <w:jc w:val="left"/>
      <w:rPr/>
    </w:pPr>
    <w:r>
      <w:rPr/>
      <w:drawing>
        <wp:inline distT="0" distB="0" distL="0" distR="0">
          <wp:extent cx="6836410" cy="786765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widowControl/>
      <w:suppressAutoHyphens w:val="true"/>
      <w:bidi w:val="0"/>
      <w:spacing w:before="0" w:after="8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54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textovodkaz1" w:customStyle="1">
    <w:name w:val="Hypertextový odkaz1"/>
    <w:qFormat/>
    <w:rPr>
      <w:u w:val="single"/>
    </w:rPr>
  </w:style>
  <w:style w:type="character" w:styleId="Slodku1" w:customStyle="1">
    <w:name w:val="Číslo řádku1"/>
    <w:qFormat/>
    <w:rPr/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Pr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dpis" w:customStyle="1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hlavazpat" w:customStyle="1">
    <w:name w:val="Záhlaví a zápatí"/>
    <w:basedOn w:val="Normal"/>
    <w:qFormat/>
    <w:pPr/>
    <w:rPr/>
  </w:style>
  <w:style w:type="paragraph" w:styleId="Header">
    <w:name w:val="Header"/>
    <w:pPr>
      <w:widowControl/>
      <w:tabs>
        <w:tab w:val="clear" w:pos="709"/>
        <w:tab w:val="center" w:pos="4680" w:leader="none"/>
        <w:tab w:val="right" w:pos="9360" w:leader="none"/>
      </w:tabs>
      <w:suppressAutoHyphens w:val="true"/>
      <w:bidi w:val="0"/>
      <w:spacing w:before="0" w:after="80"/>
      <w:jc w:val="left"/>
    </w:pPr>
    <w:rPr>
      <w:rFonts w:ascii="Calibri" w:hAnsi="Calibri" w:eastAsia="Arial Unicode MS" w:cs="Arial Unicode MS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Footer">
    <w:name w:val="Footer"/>
    <w:pPr>
      <w:widowControl/>
      <w:tabs>
        <w:tab w:val="clear" w:pos="709"/>
        <w:tab w:val="center" w:pos="4680" w:leader="none"/>
        <w:tab w:val="right" w:pos="9360" w:leader="none"/>
      </w:tabs>
      <w:suppressAutoHyphens w:val="true"/>
      <w:bidi w:val="0"/>
      <w:spacing w:before="0" w:after="80"/>
      <w:jc w:val="left"/>
    </w:pPr>
    <w:rPr>
      <w:rFonts w:ascii="Calibri" w:hAnsi="Calibri" w:eastAsia="Arial Unicode MS" w:cs="Arial Unicode MS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TextA" w:customStyle="1">
    <w:name w:val="Text A"/>
    <w:qFormat/>
    <w:pPr>
      <w:widowControl/>
      <w:suppressAutoHyphens w:val="true"/>
      <w:bidi w:val="0"/>
      <w:spacing w:before="0" w:after="80"/>
      <w:jc w:val="left"/>
    </w:pPr>
    <w:rPr>
      <w:rFonts w:ascii="Calibri" w:hAnsi="Calibri" w:eastAsia="Arial Unicode MS" w:cs="Arial Unicode MS"/>
      <w:color w:val="000000"/>
      <w:kern w:val="0"/>
      <w:sz w:val="24"/>
      <w:szCs w:val="24"/>
      <w:u w:val="none" w:color="000000"/>
      <w:lang w:val="cs-CZ" w:eastAsia="cs-CZ" w:bidi="ar-SA"/>
    </w:rPr>
  </w:style>
  <w:style w:type="paragraph" w:styleId="BasicParagraph" w:customStyle="1">
    <w:name w:val="[Basic Paragraph]"/>
    <w:qFormat/>
    <w:pPr>
      <w:widowControl/>
      <w:suppressAutoHyphens w:val="true"/>
      <w:bidi w:val="0"/>
      <w:spacing w:lineRule="auto" w:line="288" w:before="0" w:after="0"/>
      <w:jc w:val="left"/>
    </w:pPr>
    <w:rPr>
      <w:rFonts w:ascii="Minion Pro" w:hAnsi="Minion Pro" w:eastAsia="Minion Pro" w:cs="Minion Pro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Revision">
    <w:name w:val="Revision"/>
    <w:uiPriority w:val="99"/>
    <w:semiHidden/>
    <w:qFormat/>
    <w:rsid w:val="00820d1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D5137996D01499DD756264FE30C20" ma:contentTypeVersion="2" ma:contentTypeDescription="Vytvoří nový dokument" ma:contentTypeScope="" ma:versionID="985ae20c28297fce0eba74a5e1626107">
  <xsd:schema xmlns:xsd="http://www.w3.org/2001/XMLSchema" xmlns:xs="http://www.w3.org/2001/XMLSchema" xmlns:p="http://schemas.microsoft.com/office/2006/metadata/properties" xmlns:ns3="6ae185b5-a7c6-46da-a1a6-93f30d996c40" targetNamespace="http://schemas.microsoft.com/office/2006/metadata/properties" ma:root="true" ma:fieldsID="612c29ff7f402ca5360d9df18096ea34" ns3:_="">
    <xsd:import namespace="6ae185b5-a7c6-46da-a1a6-93f30d996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185b5-a7c6-46da-a1a6-93f30d99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CA428-B7D5-4467-AC07-A1C6068A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185b5-a7c6-46da-a1a6-93f30d99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E7133-ACFF-4DE5-B490-176E4B218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FB533-47D0-45B4-9CC0-806808D9B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LibreOffice/7.6.0.3$Windows_X86_64 LibreOffice_project/69edd8b8ebc41d00b4de3915dc82f8f0fc3b6265</Application>
  <AppVersion>15.0000</AppVersion>
  <DocSecurity>4</DocSecurity>
  <Pages>2</Pages>
  <Words>768</Words>
  <Characters>4471</Characters>
  <CharactersWithSpaces>5240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2023-09-20T09:14:00Z</dcterms:created>
  <dc:creator>Alena Sedláčková</dc:creator>
  <dc:description/>
  <dc:language>cs-CZ</dc:language>
  <cp:lastModifiedBy/>
  <cp:lastPrinted>2023-09-15T12:14:00Z</cp:lastPrinted>
  <dcterms:modified xsi:type="dcterms:W3CDTF">2023-09-20T21:42:21Z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0x010100469D5137996D01499DD756264FE30C20</vt:lpwstr>
  </property>
</Properties>
</file>